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ind w:left="0" w:right="0" w:firstLine="482" w:firstLineChars="200"/>
        <w:jc w:val="left"/>
        <w:rPr>
          <w:rFonts w:ascii="宋体" w:hAnsi="宋体" w:eastAsia="宋体" w:cs="宋体"/>
          <w:b/>
          <w:i w:val="0"/>
          <w:caps w:val="0"/>
          <w:color w:val="333333"/>
          <w:spacing w:val="0"/>
          <w:sz w:val="24"/>
          <w:szCs w:val="24"/>
          <w:u w:val="none"/>
        </w:rPr>
      </w:pPr>
      <w:r>
        <w:rPr>
          <w:rFonts w:hint="eastAsia" w:ascii="宋体" w:hAnsi="宋体" w:eastAsia="宋体" w:cs="宋体"/>
          <w:b/>
          <w:i w:val="0"/>
          <w:caps w:val="0"/>
          <w:color w:val="333333"/>
          <w:spacing w:val="0"/>
          <w:sz w:val="24"/>
          <w:szCs w:val="24"/>
          <w:u w:val="none"/>
          <w:lang w:val="en-US" w:eastAsia="zh-CN"/>
        </w:rPr>
        <w:t>漯河市生态环境局舞阳分局</w:t>
      </w:r>
      <w:r>
        <w:rPr>
          <w:rFonts w:ascii="宋体" w:hAnsi="宋体" w:eastAsia="宋体" w:cs="宋体"/>
          <w:b/>
          <w:i w:val="0"/>
          <w:caps w:val="0"/>
          <w:color w:val="333333"/>
          <w:spacing w:val="0"/>
          <w:sz w:val="24"/>
          <w:szCs w:val="24"/>
          <w:u w:val="none"/>
        </w:rPr>
        <w:t>于20</w:t>
      </w:r>
      <w:r>
        <w:rPr>
          <w:rFonts w:hint="eastAsia" w:ascii="宋体" w:hAnsi="宋体" w:eastAsia="宋体" w:cs="宋体"/>
          <w:b/>
          <w:i w:val="0"/>
          <w:caps w:val="0"/>
          <w:color w:val="333333"/>
          <w:spacing w:val="0"/>
          <w:sz w:val="24"/>
          <w:szCs w:val="24"/>
          <w:u w:val="none"/>
          <w:lang w:val="en-US" w:eastAsia="zh-CN"/>
        </w:rPr>
        <w:t>20</w:t>
      </w:r>
      <w:r>
        <w:rPr>
          <w:rFonts w:ascii="宋体" w:hAnsi="宋体" w:eastAsia="宋体" w:cs="宋体"/>
          <w:b/>
          <w:i w:val="0"/>
          <w:caps w:val="0"/>
          <w:color w:val="333333"/>
          <w:spacing w:val="0"/>
          <w:sz w:val="24"/>
          <w:szCs w:val="24"/>
          <w:u w:val="none"/>
        </w:rPr>
        <w:t>年</w:t>
      </w:r>
      <w:r>
        <w:rPr>
          <w:rFonts w:hint="eastAsia" w:ascii="宋体" w:hAnsi="宋体" w:eastAsia="宋体" w:cs="宋体"/>
          <w:b/>
          <w:i w:val="0"/>
          <w:caps w:val="0"/>
          <w:color w:val="333333"/>
          <w:spacing w:val="0"/>
          <w:sz w:val="24"/>
          <w:szCs w:val="24"/>
          <w:u w:val="none"/>
          <w:lang w:val="en-US" w:eastAsia="zh-CN"/>
        </w:rPr>
        <w:t>10</w:t>
      </w:r>
      <w:r>
        <w:rPr>
          <w:rFonts w:ascii="宋体" w:hAnsi="宋体" w:eastAsia="宋体" w:cs="宋体"/>
          <w:b/>
          <w:i w:val="0"/>
          <w:caps w:val="0"/>
          <w:color w:val="333333"/>
          <w:spacing w:val="0"/>
          <w:sz w:val="24"/>
          <w:szCs w:val="24"/>
          <w:u w:val="none"/>
        </w:rPr>
        <w:t>月</w:t>
      </w:r>
      <w:r>
        <w:rPr>
          <w:rFonts w:hint="eastAsia" w:ascii="宋体" w:hAnsi="宋体" w:eastAsia="宋体" w:cs="宋体"/>
          <w:b/>
          <w:i w:val="0"/>
          <w:caps w:val="0"/>
          <w:color w:val="333333"/>
          <w:spacing w:val="0"/>
          <w:sz w:val="24"/>
          <w:szCs w:val="24"/>
          <w:u w:val="none"/>
          <w:lang w:val="en-US" w:eastAsia="zh-CN"/>
        </w:rPr>
        <w:t>13</w:t>
      </w:r>
      <w:r>
        <w:rPr>
          <w:rFonts w:ascii="宋体" w:hAnsi="宋体" w:eastAsia="宋体" w:cs="宋体"/>
          <w:b/>
          <w:i w:val="0"/>
          <w:caps w:val="0"/>
          <w:color w:val="333333"/>
          <w:spacing w:val="0"/>
          <w:sz w:val="24"/>
          <w:szCs w:val="24"/>
          <w:u w:val="none"/>
        </w:rPr>
        <w:t>日受理</w:t>
      </w:r>
      <w:r>
        <w:rPr>
          <w:rFonts w:hint="eastAsia" w:ascii="宋体" w:hAnsi="宋体" w:eastAsia="宋体" w:cs="宋体"/>
          <w:b/>
          <w:i w:val="0"/>
          <w:caps w:val="0"/>
          <w:color w:val="333333"/>
          <w:spacing w:val="0"/>
          <w:sz w:val="24"/>
          <w:szCs w:val="24"/>
          <w:u w:val="none"/>
          <w:lang w:eastAsia="zh-CN"/>
        </w:rPr>
        <w:t>舞阳县联大电子科技有限责任公司</w:t>
      </w:r>
      <w:r>
        <w:rPr>
          <w:rFonts w:hint="eastAsia" w:ascii="宋体" w:hAnsi="宋体" w:eastAsia="宋体" w:cs="宋体"/>
          <w:b/>
          <w:i w:val="0"/>
          <w:caps w:val="0"/>
          <w:color w:val="333333"/>
          <w:spacing w:val="0"/>
          <w:sz w:val="24"/>
          <w:szCs w:val="24"/>
          <w:u w:val="none"/>
          <w:lang w:val="en-US" w:eastAsia="zh-CN"/>
        </w:rPr>
        <w:t>年产400万个电子用品高低频变压器建设项目</w:t>
      </w:r>
      <w:r>
        <w:rPr>
          <w:rFonts w:ascii="宋体" w:hAnsi="宋体" w:eastAsia="宋体" w:cs="宋体"/>
          <w:b/>
          <w:i w:val="0"/>
          <w:caps w:val="0"/>
          <w:color w:val="333333"/>
          <w:spacing w:val="0"/>
          <w:sz w:val="24"/>
          <w:szCs w:val="24"/>
          <w:u w:val="none"/>
        </w:rPr>
        <w:t>文件，现公告有关环评信息，接受社会监督。受项目影响的公众可在</w:t>
      </w:r>
      <w:r>
        <w:rPr>
          <w:rFonts w:hint="eastAsia" w:ascii="宋体" w:hAnsi="宋体" w:eastAsia="宋体" w:cs="宋体"/>
          <w:b/>
          <w:i w:val="0"/>
          <w:caps w:val="0"/>
          <w:color w:val="333333"/>
          <w:spacing w:val="0"/>
          <w:sz w:val="24"/>
          <w:szCs w:val="24"/>
          <w:u w:val="none"/>
          <w:lang w:val="en-US" w:eastAsia="zh-CN"/>
        </w:rPr>
        <w:t>3</w:t>
      </w:r>
      <w:r>
        <w:rPr>
          <w:rFonts w:ascii="宋体" w:hAnsi="宋体" w:eastAsia="宋体" w:cs="宋体"/>
          <w:b/>
          <w:i w:val="0"/>
          <w:caps w:val="0"/>
          <w:color w:val="333333"/>
          <w:spacing w:val="0"/>
          <w:sz w:val="24"/>
          <w:szCs w:val="24"/>
          <w:u w:val="none"/>
        </w:rPr>
        <w:t>个工作日内以书面形式向我局反映，反馈意见电话：0395-7121061。</w:t>
      </w:r>
    </w:p>
    <w:tbl>
      <w:tblPr>
        <w:tblStyle w:val="6"/>
        <w:tblW w:w="13965" w:type="dxa"/>
        <w:tblInd w:w="0" w:type="dxa"/>
        <w:shd w:val="clear" w:color="auto" w:fill="auto"/>
        <w:tblLayout w:type="autofit"/>
        <w:tblCellMar>
          <w:top w:w="0" w:type="dxa"/>
          <w:left w:w="0" w:type="dxa"/>
          <w:bottom w:w="0" w:type="dxa"/>
          <w:right w:w="0" w:type="dxa"/>
        </w:tblCellMar>
      </w:tblPr>
      <w:tblGrid>
        <w:gridCol w:w="300"/>
        <w:gridCol w:w="779"/>
        <w:gridCol w:w="405"/>
        <w:gridCol w:w="614"/>
        <w:gridCol w:w="599"/>
        <w:gridCol w:w="2128"/>
        <w:gridCol w:w="8075"/>
        <w:gridCol w:w="1065"/>
      </w:tblGrid>
      <w:tr>
        <w:tblPrEx>
          <w:shd w:val="clear" w:color="auto" w:fill="auto"/>
          <w:tblCellMar>
            <w:top w:w="0" w:type="dxa"/>
            <w:left w:w="0" w:type="dxa"/>
            <w:bottom w:w="0" w:type="dxa"/>
            <w:right w:w="0" w:type="dxa"/>
          </w:tblCellMar>
        </w:tblPrEx>
        <w:tc>
          <w:tcPr>
            <w:tcW w:w="3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序号</w:t>
            </w:r>
            <w:r>
              <w:rPr>
                <w:rFonts w:ascii="&amp;quot" w:hAnsi="&amp;quot" w:eastAsia="&amp;quot" w:cs="&amp;quot"/>
                <w:b/>
                <w:i w:val="0"/>
                <w:caps w:val="0"/>
                <w:color w:val="333333"/>
                <w:spacing w:val="0"/>
                <w:kern w:val="0"/>
                <w:sz w:val="24"/>
                <w:szCs w:val="24"/>
                <w:u w:val="none"/>
                <w:lang w:val="en-US" w:eastAsia="zh-CN" w:bidi="ar"/>
              </w:rPr>
              <w:t xml:space="preserve"> </w:t>
            </w:r>
          </w:p>
        </w:tc>
        <w:tc>
          <w:tcPr>
            <w:tcW w:w="77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项目名称</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4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环评</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类别</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环评</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机构</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5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建设</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地点</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21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建设项目</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概况</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80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主要环境影响及预防或减轻不良环境影响的对策和措施</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1065" w:type="dxa"/>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000000"/>
                <w:spacing w:val="0"/>
                <w:kern w:val="0"/>
                <w:sz w:val="24"/>
                <w:szCs w:val="24"/>
                <w:u w:val="none"/>
                <w:lang w:val="en-US" w:eastAsia="zh-CN" w:bidi="ar"/>
              </w:rPr>
              <w:t>公众参与</w:t>
            </w:r>
            <w:r>
              <w:rPr>
                <w:rFonts w:hint="default" w:ascii="&amp;quot" w:hAnsi="&amp;quot" w:eastAsia="&amp;quot" w:cs="&amp;quot"/>
                <w:b/>
                <w:i w:val="0"/>
                <w:caps w:val="0"/>
                <w:color w:val="333333"/>
                <w:spacing w:val="0"/>
                <w:kern w:val="0"/>
                <w:sz w:val="24"/>
                <w:szCs w:val="24"/>
                <w:u w:val="none"/>
                <w:lang w:val="en-US" w:eastAsia="zh-CN" w:bidi="ar"/>
              </w:rPr>
              <w:t xml:space="preserve"> </w:t>
            </w:r>
          </w:p>
        </w:tc>
      </w:tr>
      <w:tr>
        <w:tblPrEx>
          <w:shd w:val="clear" w:color="auto" w:fill="auto"/>
          <w:tblCellMar>
            <w:top w:w="0" w:type="dxa"/>
            <w:left w:w="0" w:type="dxa"/>
            <w:bottom w:w="0" w:type="dxa"/>
            <w:right w:w="0" w:type="dxa"/>
          </w:tblCellMar>
        </w:tblPrEx>
        <w:tc>
          <w:tcPr>
            <w:tcW w:w="3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333333"/>
                <w:spacing w:val="0"/>
                <w:kern w:val="0"/>
                <w:sz w:val="24"/>
                <w:szCs w:val="24"/>
                <w:u w:val="none"/>
                <w:lang w:val="en-US" w:eastAsia="zh-CN" w:bidi="ar"/>
              </w:rPr>
              <w:t>1</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77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hint="eastAsia" w:ascii="宋体" w:hAnsi="宋体" w:eastAsia="宋体" w:cs="宋体"/>
                <w:b/>
                <w:i w:val="0"/>
                <w:caps w:val="0"/>
                <w:color w:val="333333"/>
                <w:spacing w:val="0"/>
                <w:sz w:val="24"/>
                <w:szCs w:val="24"/>
                <w:u w:val="none"/>
                <w:lang w:val="en-US" w:eastAsia="zh-CN"/>
              </w:rPr>
              <w:t>舞阳县联大电子科技有限责任公司年产400万个电子用品高低频变压器建设项目</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4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ascii="宋体" w:hAnsi="宋体" w:eastAsia="宋体" w:cs="宋体"/>
                <w:b/>
                <w:i w:val="0"/>
                <w:caps w:val="0"/>
                <w:color w:val="333333"/>
                <w:spacing w:val="0"/>
                <w:kern w:val="0"/>
                <w:sz w:val="24"/>
                <w:szCs w:val="24"/>
                <w:u w:val="none"/>
                <w:lang w:val="en-US" w:eastAsia="zh-CN" w:bidi="ar"/>
              </w:rPr>
              <w:t>报告表</w:t>
            </w:r>
            <w:r>
              <w:rPr>
                <w:rFonts w:hint="default" w:ascii="&amp;quot" w:hAnsi="&amp;quot" w:eastAsia="&amp;quot" w:cs="&amp;quot"/>
                <w:b/>
                <w:i w:val="0"/>
                <w:caps w:val="0"/>
                <w:color w:val="333333"/>
                <w:spacing w:val="0"/>
                <w:kern w:val="0"/>
                <w:sz w:val="24"/>
                <w:szCs w:val="24"/>
                <w:u w:val="none"/>
                <w:lang w:val="en-US" w:eastAsia="zh-CN" w:bidi="ar"/>
              </w:rPr>
              <w:t xml:space="preserve"> </w:t>
            </w:r>
          </w:p>
        </w:tc>
        <w:tc>
          <w:tcPr>
            <w:tcW w:w="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hint="eastAsia" w:ascii="宋体" w:hAnsi="宋体" w:eastAsia="宋体" w:cs="宋体"/>
                <w:b/>
                <w:i w:val="0"/>
                <w:caps w:val="0"/>
                <w:color w:val="333333"/>
                <w:spacing w:val="0"/>
                <w:kern w:val="0"/>
                <w:sz w:val="24"/>
                <w:szCs w:val="24"/>
                <w:u w:val="none"/>
                <w:lang w:val="en-US" w:eastAsia="zh-CN" w:bidi="ar"/>
              </w:rPr>
              <w:t>河北可天环保科技有限公司</w:t>
            </w:r>
          </w:p>
        </w:tc>
        <w:tc>
          <w:tcPr>
            <w:tcW w:w="5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pPr>
            <w:r>
              <w:rPr>
                <w:rFonts w:hint="default" w:ascii="&amp;quot" w:hAnsi="&amp;quot" w:eastAsia="&amp;quot" w:cs="&amp;quot"/>
                <w:b/>
                <w:i w:val="0"/>
                <w:caps w:val="0"/>
                <w:color w:val="333333"/>
                <w:spacing w:val="0"/>
                <w:kern w:val="0"/>
                <w:sz w:val="24"/>
                <w:szCs w:val="24"/>
                <w:u w:val="none"/>
                <w:lang w:val="en-US" w:eastAsia="zh-CN" w:bidi="ar"/>
              </w:rPr>
              <w:t xml:space="preserve">漯河市舞阳县章化镇朱庄村 </w:t>
            </w:r>
          </w:p>
        </w:tc>
        <w:tc>
          <w:tcPr>
            <w:tcW w:w="21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left"/>
            </w:pPr>
            <w:r>
              <w:rPr>
                <w:rFonts w:hint="eastAsia" w:ascii="宋体" w:hAnsi="宋体" w:eastAsia="宋体" w:cs="宋体"/>
                <w:b/>
                <w:i w:val="0"/>
                <w:caps w:val="0"/>
                <w:color w:val="000000"/>
                <w:spacing w:val="0"/>
                <w:kern w:val="0"/>
                <w:sz w:val="24"/>
                <w:szCs w:val="24"/>
                <w:u w:val="none"/>
                <w:lang w:val="en-US" w:eastAsia="zh-CN" w:bidi="ar"/>
              </w:rPr>
              <w:t>舞阳县联大电子科技有限责任公司投资200万元，建设年产400万个电子用品高低频变压器建设项目，项目占地3500平方米，建筑面积600平方米，生产车间400平方米，仓库200平方米。项目生产工艺流程：原料—绕线—理线—焊锡—组装—包磁芯胶带—半成品测试—半成品外检—含浸—烘烤—点胶—烘烤—成品测试—成品检验—包装。主要设备：绕线机74台，包胶机12台，测试机8台，耐压机8台，含浸机2台，烤箱3台，空压机3台，焊锡炉4台，分线机1台，裁切机14台。配套建设供电、供水等设施，形成年产400万个电子用品高低频变压器生产能力。</w:t>
            </w:r>
          </w:p>
        </w:tc>
        <w:tc>
          <w:tcPr>
            <w:tcW w:w="80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left"/>
            </w:pPr>
            <w:r>
              <w:rPr>
                <w:rFonts w:ascii="宋体" w:hAnsi="宋体" w:eastAsia="宋体" w:cs="宋体"/>
                <w:b/>
                <w:i w:val="0"/>
                <w:caps w:val="0"/>
                <w:color w:val="333333"/>
                <w:spacing w:val="0"/>
                <w:kern w:val="0"/>
                <w:sz w:val="24"/>
                <w:szCs w:val="24"/>
                <w:u w:val="none"/>
                <w:lang w:val="en-US" w:eastAsia="zh-CN" w:bidi="ar"/>
              </w:rPr>
              <w:t>项目主要环境污染为：</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firstLine="420"/>
              <w:jc w:val="left"/>
            </w:pPr>
            <w:r>
              <w:rPr>
                <w:rFonts w:ascii="宋体" w:hAnsi="宋体" w:eastAsia="宋体" w:cs="宋体"/>
                <w:b/>
                <w:i w:val="0"/>
                <w:caps w:val="0"/>
                <w:color w:val="333333"/>
                <w:spacing w:val="0"/>
                <w:kern w:val="0"/>
                <w:sz w:val="24"/>
                <w:szCs w:val="24"/>
                <w:u w:val="none"/>
                <w:lang w:val="en-US" w:eastAsia="zh-CN" w:bidi="ar"/>
              </w:rPr>
              <w:t>（1</w:t>
            </w:r>
            <w:r>
              <w:rPr>
                <w:rFonts w:ascii="宋体" w:hAnsi="宋体" w:eastAsia="宋体" w:cs="宋体"/>
                <w:b/>
                <w:i w:val="0"/>
                <w:caps w:val="0"/>
                <w:color w:val="000000"/>
                <w:spacing w:val="0"/>
                <w:kern w:val="0"/>
                <w:sz w:val="24"/>
                <w:szCs w:val="24"/>
                <w:u w:val="none"/>
                <w:lang w:val="en-US" w:eastAsia="zh-CN" w:bidi="ar"/>
              </w:rPr>
              <w:t>）废水</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firstLine="420"/>
              <w:jc w:val="left"/>
            </w:pPr>
            <w:r>
              <w:rPr>
                <w:rFonts w:hint="eastAsia" w:ascii="宋体" w:hAnsi="宋体" w:eastAsia="宋体" w:cs="宋体"/>
                <w:b/>
                <w:i w:val="0"/>
                <w:caps w:val="0"/>
                <w:color w:val="333333"/>
                <w:spacing w:val="0"/>
                <w:kern w:val="0"/>
                <w:sz w:val="24"/>
                <w:szCs w:val="24"/>
                <w:u w:val="none"/>
                <w:lang w:val="en-US" w:eastAsia="zh-CN" w:bidi="ar"/>
              </w:rPr>
              <w:t>项目营运期用水主要为职工生活用水，因此所产生废水主要为职工生活污水。经化粪池处理后由附近农民定期清陶肥田，不外排。</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firstLine="420"/>
              <w:jc w:val="left"/>
            </w:pPr>
            <w:r>
              <w:rPr>
                <w:rFonts w:ascii="宋体" w:hAnsi="宋体" w:eastAsia="宋体" w:cs="宋体"/>
                <w:b/>
                <w:i w:val="0"/>
                <w:caps w:val="0"/>
                <w:color w:val="333333"/>
                <w:spacing w:val="0"/>
                <w:kern w:val="0"/>
                <w:sz w:val="24"/>
                <w:szCs w:val="24"/>
                <w:u w:val="none"/>
                <w:lang w:val="en-US" w:eastAsia="zh-CN" w:bidi="ar"/>
              </w:rPr>
              <w:t>（2）废气</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numPr>
                <w:ilvl w:val="0"/>
                <w:numId w:val="0"/>
              </w:numPr>
              <w:suppressLineNumbers w:val="0"/>
              <w:spacing w:before="0" w:beforeAutospacing="1" w:after="0" w:afterAutospacing="1"/>
              <w:ind w:right="0" w:rightChars="0" w:firstLine="482" w:firstLineChars="200"/>
              <w:jc w:val="left"/>
              <w:rPr>
                <w:rFonts w:hint="eastAsia"/>
                <w:b/>
                <w:bCs/>
                <w:sz w:val="24"/>
                <w:lang w:val="en-US" w:eastAsia="zh-CN"/>
              </w:rPr>
            </w:pPr>
            <w:r>
              <w:rPr>
                <w:rFonts w:hint="eastAsia"/>
                <w:b/>
                <w:bCs/>
                <w:sz w:val="24"/>
                <w:lang w:val="en-US" w:eastAsia="zh-CN"/>
              </w:rPr>
              <w:t>项目烘烤工序在密闭烘烤箱内进行，项目含浸工序在密闭箱体内在真空状态下进行，含浸、烘烤、点胶工序产生的有机废气分别设集气罩收集后，经引风机通过管道输送至1 套“UV光解+活性炭”处理，最终经15m 高的排气筒排放。项目车间密闭，锡焊工艺废气通过移动式焊烟除尘器处理后，在车间内无组织排放。</w:t>
            </w:r>
          </w:p>
          <w:p>
            <w:pPr>
              <w:keepNext w:val="0"/>
              <w:keepLines w:val="0"/>
              <w:widowControl/>
              <w:numPr>
                <w:ilvl w:val="0"/>
                <w:numId w:val="0"/>
              </w:numPr>
              <w:suppressLineNumbers w:val="0"/>
              <w:spacing w:before="0" w:beforeAutospacing="1" w:after="0" w:afterAutospacing="1"/>
              <w:ind w:right="0" w:rightChars="0" w:firstLine="482" w:firstLineChars="200"/>
              <w:jc w:val="left"/>
            </w:pPr>
            <w:r>
              <w:rPr>
                <w:rFonts w:ascii="宋体" w:hAnsi="宋体" w:eastAsia="宋体" w:cs="宋体"/>
                <w:b/>
                <w:i w:val="0"/>
                <w:caps w:val="0"/>
                <w:color w:val="333333"/>
                <w:spacing w:val="0"/>
                <w:kern w:val="0"/>
                <w:sz w:val="24"/>
                <w:szCs w:val="24"/>
                <w:u w:val="none"/>
                <w:lang w:val="en-US" w:eastAsia="zh-CN" w:bidi="ar"/>
              </w:rPr>
              <w:t>（3</w:t>
            </w:r>
            <w:r>
              <w:rPr>
                <w:rFonts w:ascii="宋体" w:hAnsi="宋体" w:eastAsia="宋体" w:cs="宋体"/>
                <w:b/>
                <w:i w:val="0"/>
                <w:caps w:val="0"/>
                <w:color w:val="000000"/>
                <w:spacing w:val="0"/>
                <w:kern w:val="0"/>
                <w:sz w:val="24"/>
                <w:szCs w:val="24"/>
                <w:u w:val="none"/>
                <w:lang w:val="en-US" w:eastAsia="zh-CN" w:bidi="ar"/>
              </w:rPr>
              <w:t>）噪声</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本项目噪声主要是空压机、绕线机等设备产生的机械设备噪声，噪声源强约为60~80dB(A)。经过基础减振、厂房隔声后，厂界噪声满足《工业企业厂界环境噪声排放标准》（GB12348-2008）2类、4类标准要求，对周围声环境影响不大。</w:t>
            </w:r>
          </w:p>
          <w:p>
            <w:pPr>
              <w:keepNext w:val="0"/>
              <w:keepLines w:val="0"/>
              <w:widowControl/>
              <w:suppressLineNumbers w:val="0"/>
              <w:spacing w:before="0" w:beforeAutospacing="1" w:after="0" w:afterAutospacing="1"/>
              <w:ind w:left="0" w:right="0" w:firstLine="420"/>
              <w:jc w:val="left"/>
            </w:pPr>
            <w:r>
              <w:rPr>
                <w:rFonts w:ascii="宋体" w:hAnsi="宋体" w:eastAsia="宋体" w:cs="宋体"/>
                <w:b/>
                <w:i w:val="0"/>
                <w:caps w:val="0"/>
                <w:color w:val="333333"/>
                <w:spacing w:val="0"/>
                <w:kern w:val="0"/>
                <w:sz w:val="24"/>
                <w:szCs w:val="24"/>
                <w:u w:val="none"/>
                <w:lang w:val="en-US" w:eastAsia="zh-CN" w:bidi="ar"/>
              </w:rPr>
              <w:t>（4</w:t>
            </w:r>
            <w:r>
              <w:rPr>
                <w:rFonts w:ascii="宋体" w:hAnsi="宋体" w:eastAsia="宋体" w:cs="宋体"/>
                <w:b/>
                <w:i w:val="0"/>
                <w:caps w:val="0"/>
                <w:color w:val="000000"/>
                <w:spacing w:val="0"/>
                <w:kern w:val="0"/>
                <w:sz w:val="24"/>
                <w:szCs w:val="24"/>
                <w:u w:val="none"/>
                <w:lang w:val="en-US" w:eastAsia="zh-CN" w:bidi="ar"/>
              </w:rPr>
              <w:t>）固体废物</w:t>
            </w:r>
            <w:r>
              <w:rPr>
                <w:rFonts w:hint="default" w:ascii="&amp;quot" w:hAnsi="&amp;quot" w:eastAsia="&amp;quot" w:cs="&amp;quot"/>
                <w:b/>
                <w:i w:val="0"/>
                <w:caps w:val="0"/>
                <w:color w:val="333333"/>
                <w:spacing w:val="0"/>
                <w:kern w:val="0"/>
                <w:sz w:val="24"/>
                <w:szCs w:val="24"/>
                <w:u w:val="none"/>
                <w:lang w:val="en-US" w:eastAsia="zh-CN" w:bidi="ar"/>
              </w:rPr>
              <w:t xml:space="preserve"> </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1）一般固体废物</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项目产生的固体废物为生活垃圾、废包装材料、锡渣和不合格品等。</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①生活垃圾在厂区设垃圾桶分类收集后由环卫部门统一清运处置。</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②废包装材料统一收集后由物资回收单位处理。</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③锡渣统一收集后由物资回收单位处理。</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④不合格品统一收集后由物资回收单位处理。</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2）危险废物</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项目产生的危险废物为废机油、废硅胶桶、废绝缘漆桶、废UV 灯管、废活性炭等。</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①废机油由建设单位统一收集置于密闭桶内暂存于危废暂存间，后统一交由有危险废物处理资质的单位处理。</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②废硅胶桶、废绝缘漆桶由建设单位统一收集暂存于危废暂存间，后统一交由有危险废物处理资质的单位处理。</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③废 UV 灯管更换后置于密闭桶内暂存在危废暂存间后统一交由具有危险废物处理资质的单位收集处置。</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④废活性炭由建设单位统一收集暂存于危废暂存间，后统一交由有危险废物处理资质的单位处理。</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3）危险废物贮存处置要求</w:t>
            </w:r>
          </w:p>
          <w:p>
            <w:pPr>
              <w:keepNext w:val="0"/>
              <w:keepLines w:val="0"/>
              <w:widowControl/>
              <w:suppressLineNumbers w:val="0"/>
              <w:spacing w:before="0" w:beforeAutospacing="1" w:after="0" w:afterAutospacing="1"/>
              <w:ind w:left="0" w:right="0" w:firstLine="420"/>
              <w:jc w:val="left"/>
              <w:rPr>
                <w:rFonts w:hint="default" w:ascii="宋体" w:hAnsi="宋体" w:eastAsia="宋体" w:cs="宋体"/>
                <w:b/>
                <w:i w:val="0"/>
                <w:caps w:val="0"/>
                <w:color w:val="000000"/>
                <w:spacing w:val="0"/>
                <w:kern w:val="0"/>
                <w:sz w:val="24"/>
                <w:szCs w:val="24"/>
                <w:u w:val="none"/>
                <w:lang w:val="en-US" w:eastAsia="zh-CN" w:bidi="ar"/>
              </w:rPr>
            </w:pPr>
            <w:r>
              <w:rPr>
                <w:rFonts w:hint="default" w:ascii="宋体" w:hAnsi="宋体" w:eastAsia="宋体" w:cs="宋体"/>
                <w:b/>
                <w:i w:val="0"/>
                <w:caps w:val="0"/>
                <w:color w:val="000000"/>
                <w:spacing w:val="0"/>
                <w:kern w:val="0"/>
                <w:sz w:val="24"/>
                <w:szCs w:val="24"/>
                <w:u w:val="none"/>
                <w:lang w:val="en-US" w:eastAsia="zh-CN" w:bidi="ar"/>
              </w:rPr>
              <w:t>据本项目特点，危险废物如不及时加以处理（处置），将会对自然环境和人体健康产生严重危害，因此，要根据《危险废物收集贮存运输技术规范》（HJ2025-2012）的相关要求，严格组织收集、贮存和运输。</w:t>
            </w:r>
          </w:p>
          <w:p>
            <w:pPr>
              <w:keepNext w:val="0"/>
              <w:keepLines w:val="0"/>
              <w:widowControl/>
              <w:suppressLineNumbers w:val="0"/>
              <w:spacing w:before="0" w:beforeAutospacing="1" w:after="0" w:afterAutospacing="1"/>
              <w:ind w:left="0" w:right="0" w:firstLine="420"/>
              <w:jc w:val="left"/>
            </w:pPr>
            <w:r>
              <w:rPr>
                <w:rFonts w:hint="default" w:ascii="宋体" w:hAnsi="宋体" w:eastAsia="宋体" w:cs="宋体"/>
                <w:b/>
                <w:i w:val="0"/>
                <w:caps w:val="0"/>
                <w:color w:val="000000"/>
                <w:spacing w:val="0"/>
                <w:kern w:val="0"/>
                <w:sz w:val="24"/>
                <w:szCs w:val="24"/>
                <w:u w:val="none"/>
                <w:lang w:val="en-US" w:eastAsia="zh-CN" w:bidi="ar"/>
              </w:rPr>
              <w:t>综上所述，项目运营期固体废物和危险废物通过以上措施处理后，可以得到及时、妥善的处理和处置，符合相关要求，不会造成二次污染，对周围环境影响很小，环保措施可行。</w:t>
            </w:r>
            <w:bookmarkStart w:id="0" w:name="_GoBack"/>
            <w:bookmarkEnd w:id="0"/>
          </w:p>
        </w:tc>
        <w:tc>
          <w:tcPr>
            <w:tcW w:w="1065" w:type="dxa"/>
            <w:tcBorders>
              <w:top w:val="single" w:color="auto" w:sz="4" w:space="0"/>
              <w:bottom w:val="single" w:color="auto" w:sz="4" w:space="0"/>
              <w:right w:val="single" w:color="auto" w:sz="4" w:space="0"/>
            </w:tcBorders>
            <w:shd w:val="clear" w:color="auto" w:fill="auto"/>
            <w:vAlign w:val="center"/>
          </w:tcPr>
          <w:p>
            <w:pPr>
              <w:jc w:val="center"/>
              <w:rPr>
                <w:rFonts w:hint="eastAsia" w:ascii="&amp;quot" w:hAnsi="&amp;quot" w:eastAsia="宋体" w:cs="&amp;quot"/>
                <w:b/>
                <w:i w:val="0"/>
                <w:caps w:val="0"/>
                <w:color w:val="333333"/>
                <w:spacing w:val="0"/>
                <w:sz w:val="21"/>
                <w:szCs w:val="21"/>
                <w:u w:val="none"/>
                <w:lang w:val="en-US" w:eastAsia="zh-CN"/>
              </w:rPr>
            </w:pPr>
            <w:r>
              <w:rPr>
                <w:rFonts w:hint="eastAsia" w:ascii="&amp;quot" w:hAnsi="&amp;quot" w:eastAsia="宋体" w:cs="&amp;quot"/>
                <w:b/>
                <w:i w:val="0"/>
                <w:caps w:val="0"/>
                <w:color w:val="333333"/>
                <w:spacing w:val="0"/>
                <w:sz w:val="21"/>
                <w:szCs w:val="21"/>
                <w:u w:val="none"/>
                <w:lang w:val="en-US" w:eastAsia="zh-CN"/>
              </w:rPr>
              <w:t>/</w:t>
            </w:r>
          </w:p>
        </w:tc>
      </w:tr>
    </w:tbl>
    <w:p>
      <w:pPr>
        <w:pStyle w:val="2"/>
        <w:ind w:left="0" w:leftChars="0" w:firstLine="0" w:firstLineChars="0"/>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323491"/>
    <w:rsid w:val="00205136"/>
    <w:rsid w:val="08696191"/>
    <w:rsid w:val="08765914"/>
    <w:rsid w:val="09731FD4"/>
    <w:rsid w:val="1C731419"/>
    <w:rsid w:val="204F4229"/>
    <w:rsid w:val="20F923C9"/>
    <w:rsid w:val="2C2E4DAF"/>
    <w:rsid w:val="2E693888"/>
    <w:rsid w:val="309B778D"/>
    <w:rsid w:val="32A5188E"/>
    <w:rsid w:val="4B6063F9"/>
    <w:rsid w:val="4BDD21E6"/>
    <w:rsid w:val="4D806C28"/>
    <w:rsid w:val="520C5702"/>
    <w:rsid w:val="53544D72"/>
    <w:rsid w:val="55633D8E"/>
    <w:rsid w:val="62672CC4"/>
    <w:rsid w:val="65323491"/>
    <w:rsid w:val="6DEA6ACE"/>
    <w:rsid w:val="71F4419E"/>
    <w:rsid w:val="78F12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adjustRightInd w:val="0"/>
      <w:snapToGrid w:val="0"/>
      <w:spacing w:line="360" w:lineRule="auto"/>
      <w:ind w:firstLine="200" w:firstLineChars="200"/>
      <w:outlineLvl w:val="0"/>
    </w:pPr>
    <w:rPr>
      <w:rFonts w:eastAsia="Times New Roman"/>
      <w:b/>
      <w:bCs/>
      <w:kern w:val="44"/>
      <w:sz w:val="30"/>
      <w:szCs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420" w:leftChars="200" w:firstLine="420"/>
    </w:pPr>
    <w:rPr>
      <w:rFonts w:ascii="Times New Roman" w:hAnsi="Times New Roman" w:eastAsia="宋体"/>
    </w:rPr>
  </w:style>
  <w:style w:type="paragraph" w:styleId="3">
    <w:name w:val="Body Text Indent"/>
    <w:basedOn w:val="1"/>
    <w:qFormat/>
    <w:uiPriority w:val="0"/>
    <w:pPr>
      <w:spacing w:line="360" w:lineRule="auto"/>
      <w:ind w:firstLine="480"/>
    </w:pPr>
    <w:rPr>
      <w:sz w:val="24"/>
    </w:rPr>
  </w:style>
  <w:style w:type="paragraph" w:styleId="5">
    <w:name w:val="Body Text"/>
    <w:basedOn w:val="1"/>
    <w:qFormat/>
    <w:uiPriority w:val="0"/>
    <w:pPr>
      <w:spacing w:after="12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Table Paragraph"/>
    <w:basedOn w:val="1"/>
    <w:qFormat/>
    <w:uiPriority w:val="1"/>
    <w:pPr>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2019-11-21T01:38:00Z</dcterms:created>
  <dc:creator>l54268426</dc:creator>
  <cp:lastModifiedBy>雨晴</cp:lastModifiedBy>
  <dcterms:modified xsi:type="dcterms:W3CDTF">2020-10-13T07:13:25Z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