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CA" w:rsidRDefault="00643664">
      <w:pPr>
        <w:widowControl/>
        <w:spacing w:line="600" w:lineRule="exact"/>
        <w:jc w:val="center"/>
        <w:rPr>
          <w:rFonts w:ascii="宋体" w:hAnsi="宋体" w:cs="Arial"/>
          <w:b/>
          <w:bCs/>
          <w:kern w:val="0"/>
          <w:sz w:val="38"/>
          <w:szCs w:val="38"/>
        </w:rPr>
      </w:pPr>
      <w:r>
        <w:rPr>
          <w:rFonts w:ascii="宋体" w:hAnsi="宋体" w:cs="Arial" w:hint="eastAsia"/>
          <w:b/>
          <w:bCs/>
          <w:kern w:val="0"/>
          <w:sz w:val="38"/>
          <w:szCs w:val="38"/>
        </w:rPr>
        <w:t>舞阳县人民检察院</w:t>
      </w:r>
    </w:p>
    <w:p w:rsidR="00C16ECA" w:rsidRDefault="00643664">
      <w:pPr>
        <w:widowControl/>
        <w:spacing w:line="600" w:lineRule="exact"/>
        <w:jc w:val="center"/>
        <w:rPr>
          <w:rFonts w:ascii="宋体" w:hAnsi="宋体" w:cs="Arial"/>
          <w:b/>
          <w:bCs/>
          <w:kern w:val="0"/>
          <w:sz w:val="38"/>
          <w:szCs w:val="38"/>
        </w:rPr>
      </w:pPr>
      <w:r>
        <w:rPr>
          <w:rFonts w:ascii="宋体" w:hAnsi="宋体" w:cs="Arial"/>
          <w:b/>
          <w:bCs/>
          <w:kern w:val="0"/>
          <w:sz w:val="38"/>
          <w:szCs w:val="38"/>
        </w:rPr>
        <w:t>20</w:t>
      </w:r>
      <w:r>
        <w:rPr>
          <w:rFonts w:ascii="宋体" w:hAnsi="宋体" w:cs="Arial" w:hint="eastAsia"/>
          <w:b/>
          <w:bCs/>
          <w:kern w:val="0"/>
          <w:sz w:val="38"/>
          <w:szCs w:val="38"/>
        </w:rPr>
        <w:t>20</w:t>
      </w:r>
      <w:r>
        <w:rPr>
          <w:rFonts w:ascii="宋体" w:hAnsi="宋体" w:cs="Arial"/>
          <w:b/>
          <w:bCs/>
          <w:kern w:val="0"/>
          <w:sz w:val="38"/>
          <w:szCs w:val="38"/>
        </w:rPr>
        <w:t>年</w:t>
      </w:r>
      <w:r>
        <w:rPr>
          <w:rFonts w:ascii="宋体" w:hAnsi="宋体" w:cs="Arial" w:hint="eastAsia"/>
          <w:b/>
          <w:bCs/>
          <w:kern w:val="0"/>
          <w:sz w:val="38"/>
          <w:szCs w:val="38"/>
        </w:rPr>
        <w:t>部门预算公开情况说明</w:t>
      </w:r>
    </w:p>
    <w:p w:rsidR="00C16ECA" w:rsidRDefault="00C16ECA">
      <w:pPr>
        <w:widowControl/>
        <w:spacing w:line="600" w:lineRule="exact"/>
        <w:jc w:val="center"/>
        <w:rPr>
          <w:rFonts w:ascii="宋体" w:hAnsi="宋体" w:cs="Arial"/>
          <w:b/>
          <w:bCs/>
          <w:kern w:val="0"/>
          <w:sz w:val="38"/>
          <w:szCs w:val="38"/>
        </w:rPr>
      </w:pPr>
    </w:p>
    <w:p w:rsidR="00C16ECA" w:rsidRDefault="00643664">
      <w:pPr>
        <w:pStyle w:val="a4"/>
        <w:snapToGrid w:val="0"/>
        <w:spacing w:before="0" w:beforeAutospacing="0" w:after="0" w:afterAutospacing="0" w:line="600" w:lineRule="exact"/>
        <w:jc w:val="center"/>
        <w:rPr>
          <w:rFonts w:cs="Tahoma"/>
          <w:sz w:val="44"/>
          <w:szCs w:val="44"/>
        </w:rPr>
      </w:pPr>
      <w:r>
        <w:rPr>
          <w:rFonts w:cs="Tahoma" w:hint="eastAsia"/>
          <w:sz w:val="44"/>
          <w:szCs w:val="44"/>
        </w:rPr>
        <w:t>目 录</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第一部分 部门基本情况</w:t>
      </w:r>
    </w:p>
    <w:p w:rsidR="00C16ECA" w:rsidRDefault="00643664">
      <w:pPr>
        <w:pStyle w:val="a4"/>
        <w:snapToGrid w:val="0"/>
        <w:spacing w:before="0" w:beforeAutospacing="0" w:after="0" w:afterAutospacing="0" w:line="600" w:lineRule="exact"/>
        <w:ind w:firstLineChars="150" w:firstLine="420"/>
        <w:rPr>
          <w:rFonts w:cs="Tahoma"/>
          <w:sz w:val="28"/>
          <w:szCs w:val="28"/>
        </w:rPr>
      </w:pPr>
      <w:r>
        <w:rPr>
          <w:rFonts w:cs="Tahoma" w:hint="eastAsia"/>
          <w:sz w:val="28"/>
          <w:szCs w:val="28"/>
        </w:rPr>
        <w:t>一、部门机构设置、主要职能</w:t>
      </w:r>
    </w:p>
    <w:p w:rsidR="00C16ECA" w:rsidRDefault="00643664">
      <w:pPr>
        <w:pStyle w:val="a4"/>
        <w:snapToGrid w:val="0"/>
        <w:spacing w:before="0" w:beforeAutospacing="0" w:after="0" w:afterAutospacing="0" w:line="600" w:lineRule="exact"/>
        <w:ind w:firstLineChars="150" w:firstLine="420"/>
        <w:rPr>
          <w:rFonts w:cs="Tahoma"/>
          <w:sz w:val="28"/>
          <w:szCs w:val="28"/>
        </w:rPr>
      </w:pPr>
      <w:r>
        <w:rPr>
          <w:rFonts w:cs="Tahoma" w:hint="eastAsia"/>
          <w:sz w:val="28"/>
          <w:szCs w:val="28"/>
        </w:rPr>
        <w:t>二、部门预算单位构成</w:t>
      </w:r>
    </w:p>
    <w:p w:rsidR="00C16ECA" w:rsidRDefault="00643664">
      <w:pPr>
        <w:pStyle w:val="a4"/>
        <w:snapToGrid w:val="0"/>
        <w:spacing w:before="0" w:beforeAutospacing="0" w:after="0" w:afterAutospacing="0" w:line="600" w:lineRule="exact"/>
        <w:ind w:firstLineChars="150" w:firstLine="420"/>
        <w:rPr>
          <w:rFonts w:cs="Tahoma"/>
          <w:sz w:val="28"/>
          <w:szCs w:val="28"/>
        </w:rPr>
      </w:pPr>
      <w:r>
        <w:rPr>
          <w:rFonts w:cs="Tahoma" w:hint="eastAsia"/>
          <w:sz w:val="28"/>
          <w:szCs w:val="28"/>
        </w:rPr>
        <w:t>三、人员构成情况</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第二部分 舞阳县人民检察院2020年度部门预算情况说明</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第三部分 名词解释</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附件：2020年度部门预算表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一、部门收支总体情况表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二、部门收入总体情况表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三、部门支出总体情况表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四、财政拨款收支总体情况表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五、一般公共预算支出情况表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六、一般公共预算基本支出情况表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七、一般公共预算“三公经费”支出情况表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八、政府性基金预算支出情况表</w:t>
      </w:r>
    </w:p>
    <w:p w:rsidR="00C16ECA" w:rsidRDefault="00643664">
      <w:pPr>
        <w:pStyle w:val="a4"/>
        <w:snapToGrid w:val="0"/>
        <w:spacing w:before="0" w:beforeAutospacing="0" w:after="0" w:afterAutospacing="0" w:line="600" w:lineRule="exact"/>
        <w:rPr>
          <w:rFonts w:cs="Tahoma"/>
          <w:sz w:val="28"/>
          <w:szCs w:val="28"/>
        </w:rPr>
      </w:pPr>
      <w:r>
        <w:rPr>
          <w:rFonts w:cs="Tahoma" w:hint="eastAsia"/>
          <w:sz w:val="28"/>
          <w:szCs w:val="28"/>
        </w:rPr>
        <w:t>九、国有资本经营预算支出情况表</w:t>
      </w:r>
    </w:p>
    <w:p w:rsidR="00C16ECA" w:rsidRDefault="00C16ECA">
      <w:pPr>
        <w:pStyle w:val="a4"/>
        <w:snapToGrid w:val="0"/>
        <w:spacing w:before="0" w:beforeAutospacing="0" w:after="0" w:afterAutospacing="0" w:line="600" w:lineRule="exact"/>
        <w:rPr>
          <w:rFonts w:cs="Tahoma"/>
          <w:sz w:val="28"/>
          <w:szCs w:val="28"/>
        </w:rPr>
      </w:pPr>
    </w:p>
    <w:p w:rsidR="00C16ECA" w:rsidRDefault="00C16ECA">
      <w:pPr>
        <w:pStyle w:val="a4"/>
        <w:snapToGrid w:val="0"/>
        <w:spacing w:before="0" w:beforeAutospacing="0" w:after="0" w:afterAutospacing="0" w:line="600" w:lineRule="exact"/>
        <w:rPr>
          <w:rFonts w:cs="Tahoma"/>
          <w:sz w:val="28"/>
          <w:szCs w:val="28"/>
        </w:rPr>
      </w:pPr>
    </w:p>
    <w:p w:rsidR="00C16ECA" w:rsidRDefault="00C16ECA">
      <w:pPr>
        <w:pStyle w:val="a4"/>
        <w:snapToGrid w:val="0"/>
        <w:spacing w:before="0" w:beforeAutospacing="0" w:after="0" w:afterAutospacing="0" w:line="600" w:lineRule="exact"/>
        <w:ind w:firstLine="560"/>
        <w:rPr>
          <w:rFonts w:cs="Tahoma"/>
          <w:sz w:val="28"/>
          <w:szCs w:val="28"/>
        </w:rPr>
      </w:pPr>
    </w:p>
    <w:p w:rsidR="00C16ECA" w:rsidRDefault="00C16ECA">
      <w:pPr>
        <w:pStyle w:val="a4"/>
        <w:snapToGrid w:val="0"/>
        <w:spacing w:before="0" w:beforeAutospacing="0" w:after="0" w:afterAutospacing="0" w:line="600" w:lineRule="exact"/>
        <w:ind w:firstLine="560"/>
        <w:rPr>
          <w:rFonts w:cs="Tahoma"/>
          <w:sz w:val="28"/>
          <w:szCs w:val="28"/>
        </w:rPr>
      </w:pPr>
    </w:p>
    <w:p w:rsidR="00C16ECA" w:rsidRDefault="00643664">
      <w:pPr>
        <w:jc w:val="center"/>
        <w:rPr>
          <w:rFonts w:ascii="宋体" w:hAnsi="宋体"/>
          <w:b/>
          <w:bCs/>
          <w:sz w:val="44"/>
          <w:szCs w:val="44"/>
        </w:rPr>
      </w:pPr>
      <w:r>
        <w:rPr>
          <w:rFonts w:ascii="宋体" w:hAnsi="宋体" w:cs="宋体" w:hint="eastAsia"/>
          <w:b/>
          <w:bCs/>
          <w:sz w:val="44"/>
          <w:szCs w:val="44"/>
        </w:rPr>
        <w:t>舞阳县人民检察院</w:t>
      </w:r>
    </w:p>
    <w:p w:rsidR="00C16ECA" w:rsidRDefault="00643664">
      <w:pPr>
        <w:jc w:val="center"/>
        <w:rPr>
          <w:rFonts w:ascii="宋体" w:hAnsi="宋体"/>
          <w:b/>
          <w:bCs/>
          <w:sz w:val="44"/>
          <w:szCs w:val="44"/>
        </w:rPr>
      </w:pPr>
      <w:r>
        <w:rPr>
          <w:rFonts w:ascii="宋体" w:hAnsi="宋体" w:cs="宋体" w:hint="eastAsia"/>
          <w:b/>
          <w:bCs/>
          <w:sz w:val="44"/>
          <w:szCs w:val="44"/>
        </w:rPr>
        <w:t>2020年部门预算公开情况说明</w:t>
      </w:r>
    </w:p>
    <w:p w:rsidR="00C16ECA" w:rsidRDefault="00C16ECA">
      <w:pPr>
        <w:pStyle w:val="a4"/>
        <w:snapToGrid w:val="0"/>
        <w:spacing w:before="0" w:beforeAutospacing="0" w:after="0" w:afterAutospacing="0" w:line="600" w:lineRule="exact"/>
        <w:ind w:firstLineChars="650" w:firstLine="1820"/>
        <w:rPr>
          <w:rFonts w:cs="Tahoma"/>
          <w:sz w:val="28"/>
          <w:szCs w:val="28"/>
        </w:rPr>
      </w:pPr>
    </w:p>
    <w:p w:rsidR="00C16ECA" w:rsidRDefault="00643664">
      <w:pPr>
        <w:pStyle w:val="a4"/>
        <w:snapToGrid w:val="0"/>
        <w:spacing w:before="0" w:beforeAutospacing="0" w:after="0" w:afterAutospacing="0" w:line="600" w:lineRule="exact"/>
        <w:ind w:firstLineChars="1200" w:firstLine="3373"/>
        <w:rPr>
          <w:rFonts w:cs="Tahoma"/>
          <w:b/>
          <w:sz w:val="28"/>
          <w:szCs w:val="28"/>
        </w:rPr>
      </w:pPr>
      <w:r>
        <w:rPr>
          <w:rFonts w:cs="Tahoma" w:hint="eastAsia"/>
          <w:b/>
          <w:sz w:val="28"/>
          <w:szCs w:val="28"/>
        </w:rPr>
        <w:t>第一部分</w:t>
      </w:r>
    </w:p>
    <w:p w:rsidR="00C16ECA" w:rsidRDefault="00643664">
      <w:pPr>
        <w:pStyle w:val="a4"/>
        <w:snapToGrid w:val="0"/>
        <w:spacing w:before="0" w:beforeAutospacing="0" w:after="0" w:afterAutospacing="0" w:line="600" w:lineRule="exact"/>
        <w:ind w:firstLineChars="1100" w:firstLine="3092"/>
        <w:rPr>
          <w:rFonts w:cs="Tahoma"/>
          <w:b/>
          <w:sz w:val="28"/>
          <w:szCs w:val="28"/>
        </w:rPr>
      </w:pPr>
      <w:r>
        <w:rPr>
          <w:rFonts w:cs="Tahoma" w:hint="eastAsia"/>
          <w:b/>
          <w:sz w:val="28"/>
          <w:szCs w:val="28"/>
        </w:rPr>
        <w:t>部门基本情况</w:t>
      </w:r>
    </w:p>
    <w:p w:rsidR="00C16ECA" w:rsidRDefault="00C16ECA">
      <w:pPr>
        <w:pStyle w:val="a4"/>
        <w:snapToGrid w:val="0"/>
        <w:spacing w:before="0" w:beforeAutospacing="0" w:after="0" w:afterAutospacing="0" w:line="600" w:lineRule="exact"/>
        <w:ind w:firstLineChars="1100" w:firstLine="3092"/>
        <w:rPr>
          <w:rFonts w:cs="Tahoma"/>
          <w:b/>
          <w:color w:val="FF0000"/>
          <w:sz w:val="28"/>
          <w:szCs w:val="28"/>
        </w:rPr>
      </w:pPr>
    </w:p>
    <w:p w:rsidR="00C16ECA" w:rsidRDefault="00643664">
      <w:pPr>
        <w:pStyle w:val="a4"/>
        <w:snapToGrid w:val="0"/>
        <w:spacing w:before="0" w:beforeAutospacing="0" w:after="0" w:afterAutospacing="0" w:line="600" w:lineRule="exact"/>
        <w:ind w:firstLine="560"/>
        <w:rPr>
          <w:rFonts w:cs="Tahoma"/>
          <w:b/>
          <w:sz w:val="28"/>
          <w:szCs w:val="28"/>
        </w:rPr>
      </w:pPr>
      <w:r>
        <w:rPr>
          <w:rFonts w:cs="Tahoma" w:hint="eastAsia"/>
          <w:b/>
          <w:sz w:val="28"/>
          <w:szCs w:val="28"/>
        </w:rPr>
        <w:t>一、部门机构设置、职能</w:t>
      </w:r>
    </w:p>
    <w:p w:rsidR="00C16ECA" w:rsidRDefault="00643664">
      <w:pPr>
        <w:pStyle w:val="a4"/>
        <w:spacing w:beforeAutospacing="0" w:after="150" w:afterAutospacing="0" w:line="520" w:lineRule="atLeast"/>
        <w:ind w:firstLine="640"/>
        <w:jc w:val="both"/>
        <w:rPr>
          <w:rFonts w:cs="宋体"/>
          <w:color w:val="000000"/>
          <w:sz w:val="28"/>
          <w:szCs w:val="28"/>
        </w:rPr>
      </w:pPr>
      <w:r>
        <w:rPr>
          <w:rFonts w:asciiTheme="minorEastAsia" w:eastAsiaTheme="minorEastAsia" w:hAnsiTheme="minorEastAsia" w:cstheme="minorEastAsia" w:hint="eastAsia"/>
          <w:sz w:val="28"/>
          <w:szCs w:val="28"/>
        </w:rPr>
        <w:t>(一）机构设置：舞阳县人民检察院内设8个职能科室：</w:t>
      </w:r>
      <w:r>
        <w:rPr>
          <w:rFonts w:cs="宋体" w:hint="eastAsia"/>
          <w:color w:val="000000"/>
          <w:sz w:val="28"/>
          <w:szCs w:val="28"/>
        </w:rPr>
        <w:t>办公室、政治处、第一检察部、第二检察部、第三检察部、第四检察部、第五检察部、综合业务部。</w:t>
      </w:r>
    </w:p>
    <w:p w:rsidR="00C16ECA" w:rsidRDefault="00C16ECA">
      <w:pPr>
        <w:pStyle w:val="a4"/>
        <w:spacing w:beforeAutospacing="0" w:after="150" w:afterAutospacing="0" w:line="520" w:lineRule="atLeast"/>
        <w:ind w:firstLine="640"/>
        <w:jc w:val="both"/>
        <w:rPr>
          <w:rFonts w:asciiTheme="minorEastAsia" w:eastAsiaTheme="minorEastAsia" w:hAnsiTheme="minorEastAsia" w:cstheme="minorEastAsia"/>
          <w:color w:val="0000FF"/>
          <w:sz w:val="28"/>
          <w:szCs w:val="28"/>
        </w:rPr>
      </w:pPr>
    </w:p>
    <w:p w:rsidR="00C16ECA" w:rsidRDefault="00643664">
      <w:pPr>
        <w:pStyle w:val="a4"/>
        <w:adjustRightInd w:val="0"/>
        <w:snapToGrid w:val="0"/>
        <w:spacing w:beforeAutospacing="0" w:afterAutospacing="0" w:line="360" w:lineRule="auto"/>
        <w:ind w:firstLineChars="200" w:firstLine="560"/>
        <w:rPr>
          <w:rStyle w:val="a5"/>
          <w:rFonts w:cs="宋体"/>
          <w:b w:val="0"/>
          <w:bCs w:val="0"/>
          <w:color w:val="000000"/>
          <w:sz w:val="28"/>
          <w:szCs w:val="28"/>
        </w:rPr>
      </w:pPr>
      <w:r>
        <w:rPr>
          <w:rStyle w:val="a5"/>
          <w:rFonts w:cs="宋体" w:hint="eastAsia"/>
          <w:b w:val="0"/>
          <w:bCs w:val="0"/>
          <w:color w:val="000000"/>
          <w:sz w:val="28"/>
          <w:szCs w:val="28"/>
        </w:rPr>
        <w:t>（二）主要职责</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舞阳县人民检察院是国家法律监督机关，对县人民代表大会及常务委员会负责并报告工作，接受县人民代表大会及常务委员会的监督，接受漯河市人民检察院的领导。其主要职责是：</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1、依法向县人民代表大会及其常务委员会提出议案。</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2、贯彻市人民检察院确定的检察工作方针；落实市人民检察院确定的各项检察工作。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3、对刑事犯罪案件依法审查批准逮捕、决定逮捕、提起公诉。</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4、依法对刑事诉讼、民事审判和行政诉讼实行法律监督。</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lastRenderedPageBreak/>
        <w:t>5、依法对执行机关执行刑罚的活动是否合法实施监督。</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6、对人民法院已经发生法律效力，确有错误的判决、裁定，依法提起抗诉。</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7、受理单位和个人的控告、申诉、举报以及犯罪嫌疑人的自首，办理刑事赔偿事项。</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8、规划检察机关的检察技术工作和物证检验、鉴定、审核工作。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9、提出检察工作改革意见，经主管部门批准后组织实施；负责检察机关的理论研究工作。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10、对检察工作中具体应用法律的问题进行研究，向立法机关和市人民检察院提出立法及司法解释建议。</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11、负责检察机关队伍建设和思想政治工作；依法管理检察官及其他检察人员的工作。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12、负责检察机关司法警察的管理和呈报授衔工作。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13、提请县人民代表大会常务委员会决定任免县人民检察院的副检察长、检察委员会委员、检察员。</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14、负责全院检察干部教育培训工作；负责全院的检察宣传工作。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15、负责全院的财务装备工作和检察技术信息工作。</w:t>
      </w:r>
    </w:p>
    <w:p w:rsidR="00C16ECA" w:rsidRDefault="00643664">
      <w:pPr>
        <w:pStyle w:val="a4"/>
        <w:spacing w:beforeAutospacing="0" w:afterAutospacing="0" w:line="270" w:lineRule="atLeast"/>
        <w:ind w:firstLine="640"/>
        <w:rPr>
          <w:rFonts w:cs="宋体"/>
          <w:color w:val="000000"/>
          <w:sz w:val="28"/>
          <w:szCs w:val="28"/>
        </w:rPr>
      </w:pPr>
      <w:r>
        <w:rPr>
          <w:rFonts w:cs="宋体" w:hint="eastAsia"/>
          <w:color w:val="000000"/>
          <w:sz w:val="28"/>
          <w:szCs w:val="28"/>
        </w:rPr>
        <w:t>16、管理检察机关和所属事业单位的工作人员。</w:t>
      </w:r>
    </w:p>
    <w:p w:rsidR="00C16ECA" w:rsidRDefault="00643664">
      <w:pPr>
        <w:pStyle w:val="a4"/>
        <w:spacing w:beforeAutospacing="0" w:afterAutospacing="0" w:line="270" w:lineRule="atLeast"/>
        <w:ind w:firstLine="640"/>
        <w:rPr>
          <w:rFonts w:cs="Tahoma"/>
          <w:b/>
          <w:sz w:val="28"/>
          <w:szCs w:val="28"/>
        </w:rPr>
      </w:pPr>
      <w:r>
        <w:rPr>
          <w:rFonts w:cs="宋体" w:hint="eastAsia"/>
          <w:color w:val="000000"/>
          <w:sz w:val="28"/>
          <w:szCs w:val="28"/>
        </w:rPr>
        <w:t>17、负责其他应当由县人民检察院承办的事项。</w:t>
      </w:r>
    </w:p>
    <w:p w:rsidR="00C16ECA" w:rsidRDefault="00643664">
      <w:pPr>
        <w:pStyle w:val="a4"/>
        <w:adjustRightInd w:val="0"/>
        <w:snapToGrid w:val="0"/>
        <w:spacing w:before="0" w:beforeAutospacing="0" w:after="0" w:afterAutospacing="0" w:line="360" w:lineRule="auto"/>
        <w:ind w:firstLineChars="200" w:firstLine="562"/>
        <w:rPr>
          <w:rFonts w:cs="Tahoma"/>
          <w:sz w:val="28"/>
          <w:szCs w:val="28"/>
        </w:rPr>
      </w:pPr>
      <w:r>
        <w:rPr>
          <w:rFonts w:cs="Tahoma" w:hint="eastAsia"/>
          <w:b/>
          <w:sz w:val="28"/>
          <w:szCs w:val="28"/>
        </w:rPr>
        <w:lastRenderedPageBreak/>
        <w:t>二、部门预算单位构成</w:t>
      </w:r>
    </w:p>
    <w:p w:rsidR="00C16ECA" w:rsidRDefault="00643664">
      <w:pPr>
        <w:pStyle w:val="a4"/>
        <w:adjustRightInd w:val="0"/>
        <w:snapToGrid w:val="0"/>
        <w:spacing w:before="0" w:beforeAutospacing="0" w:after="200" w:afterAutospacing="0" w:line="360" w:lineRule="auto"/>
        <w:ind w:firstLineChars="200" w:firstLine="560"/>
        <w:rPr>
          <w:rFonts w:ascii="Tahoma" w:hAnsi="Tahoma" w:cs="Tahoma"/>
          <w:sz w:val="22"/>
          <w:szCs w:val="22"/>
        </w:rPr>
      </w:pPr>
      <w:r>
        <w:rPr>
          <w:rFonts w:cs="Tahoma" w:hint="eastAsia"/>
          <w:sz w:val="28"/>
          <w:szCs w:val="28"/>
        </w:rPr>
        <w:t>舞阳县人民检察院作为县财政局的一级预算单位，部门预算由 1个预算单位组成。即为：舞阳县人民检察院本级包含职能科室。无二级机构。</w:t>
      </w:r>
    </w:p>
    <w:p w:rsidR="00C16ECA" w:rsidRDefault="00643664">
      <w:pPr>
        <w:pStyle w:val="a4"/>
        <w:adjustRightInd w:val="0"/>
        <w:snapToGrid w:val="0"/>
        <w:spacing w:before="0" w:beforeAutospacing="0" w:after="0" w:afterAutospacing="0" w:line="360" w:lineRule="auto"/>
        <w:ind w:firstLineChars="200" w:firstLine="562"/>
        <w:rPr>
          <w:rFonts w:cs="Tahoma"/>
          <w:sz w:val="28"/>
          <w:szCs w:val="28"/>
        </w:rPr>
      </w:pPr>
      <w:r>
        <w:rPr>
          <w:rFonts w:cs="Tahoma" w:hint="eastAsia"/>
          <w:b/>
          <w:sz w:val="28"/>
          <w:szCs w:val="28"/>
        </w:rPr>
        <w:t>三、人员构成情况</w:t>
      </w:r>
    </w:p>
    <w:p w:rsidR="00C16ECA" w:rsidRDefault="00643664">
      <w:pPr>
        <w:pStyle w:val="a4"/>
        <w:adjustRightInd w:val="0"/>
        <w:snapToGrid w:val="0"/>
        <w:spacing w:before="0" w:beforeAutospacing="0" w:after="200" w:afterAutospacing="0" w:line="360" w:lineRule="auto"/>
        <w:ind w:firstLine="560"/>
        <w:rPr>
          <w:rFonts w:cs="Tahoma"/>
          <w:sz w:val="28"/>
          <w:szCs w:val="28"/>
        </w:rPr>
      </w:pPr>
      <w:r>
        <w:rPr>
          <w:rFonts w:cs="Tahoma" w:hint="eastAsia"/>
          <w:sz w:val="28"/>
          <w:szCs w:val="28"/>
        </w:rPr>
        <w:t>舞阳县人民检察院核定行政政法编制52名，事业编制6名。机关在职人员82人，离退休人员35人。</w:t>
      </w:r>
    </w:p>
    <w:p w:rsidR="00C16ECA" w:rsidRDefault="00643664">
      <w:pPr>
        <w:pStyle w:val="a4"/>
        <w:snapToGrid w:val="0"/>
        <w:spacing w:before="0" w:beforeAutospacing="0" w:after="0" w:afterAutospacing="0" w:line="600" w:lineRule="exact"/>
        <w:ind w:firstLineChars="1250" w:firstLine="3514"/>
        <w:rPr>
          <w:rFonts w:cs="Tahoma"/>
          <w:b/>
          <w:sz w:val="28"/>
          <w:szCs w:val="28"/>
        </w:rPr>
      </w:pPr>
      <w:r>
        <w:rPr>
          <w:rFonts w:cs="Tahoma" w:hint="eastAsia"/>
          <w:b/>
          <w:sz w:val="28"/>
          <w:szCs w:val="28"/>
        </w:rPr>
        <w:t xml:space="preserve">第二部分 </w:t>
      </w:r>
    </w:p>
    <w:p w:rsidR="00C16ECA" w:rsidRDefault="00643664">
      <w:pPr>
        <w:pStyle w:val="a4"/>
        <w:snapToGrid w:val="0"/>
        <w:spacing w:before="0" w:beforeAutospacing="0" w:after="0" w:afterAutospacing="0" w:line="600" w:lineRule="exact"/>
        <w:ind w:firstLineChars="850" w:firstLine="2389"/>
        <w:rPr>
          <w:rFonts w:cs="Tahoma"/>
          <w:b/>
          <w:sz w:val="28"/>
          <w:szCs w:val="28"/>
        </w:rPr>
      </w:pPr>
      <w:r>
        <w:rPr>
          <w:rFonts w:cs="Tahoma" w:hint="eastAsia"/>
          <w:b/>
          <w:sz w:val="28"/>
          <w:szCs w:val="28"/>
        </w:rPr>
        <w:t>2020年度部门预算情况说明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2020年部门预算主要任务是：</w:t>
      </w:r>
    </w:p>
    <w:p w:rsidR="00C16ECA" w:rsidRDefault="00643664">
      <w:pPr>
        <w:widowControl/>
        <w:spacing w:line="59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全面贯彻落实党的十九大和十九届二中、三中、四中全会精神，落实中央关于坚持和完善中国特色社会主义制度、推进国家治理体系和治理能力现代化的部署要求，依法履行法律监督职责。按照县委工作部署，紧紧围绕县委工作布局，保障检察工作的正常运转，以服务全院干警为前提，为各个办案科室以及综合科室提供强有力的经济保障，从而完成好各项检察工作，并提高财政资金使用效益。</w:t>
      </w:r>
    </w:p>
    <w:p w:rsidR="00C16ECA" w:rsidRDefault="00C16ECA">
      <w:pPr>
        <w:widowControl/>
        <w:spacing w:line="590" w:lineRule="exact"/>
        <w:ind w:firstLineChars="200" w:firstLine="560"/>
        <w:rPr>
          <w:rFonts w:asciiTheme="minorEastAsia" w:eastAsiaTheme="minorEastAsia" w:hAnsiTheme="minorEastAsia" w:cstheme="minorEastAsia"/>
          <w:sz w:val="28"/>
          <w:szCs w:val="28"/>
        </w:rPr>
      </w:pPr>
    </w:p>
    <w:p w:rsidR="00C16ECA" w:rsidRDefault="00643664">
      <w:pPr>
        <w:pStyle w:val="a4"/>
        <w:snapToGrid w:val="0"/>
        <w:spacing w:before="0" w:beforeAutospacing="0" w:after="0" w:afterAutospacing="0" w:line="600" w:lineRule="exact"/>
        <w:ind w:firstLineChars="200" w:firstLine="562"/>
        <w:rPr>
          <w:rFonts w:cs="Tahoma"/>
          <w:b/>
          <w:color w:val="FF0000"/>
          <w:sz w:val="28"/>
          <w:szCs w:val="28"/>
        </w:rPr>
      </w:pPr>
      <w:r>
        <w:rPr>
          <w:rFonts w:cs="Tahoma" w:hint="eastAsia"/>
          <w:b/>
          <w:sz w:val="28"/>
          <w:szCs w:val="28"/>
        </w:rPr>
        <w:t>一、收入支出预算总体情况说明</w:t>
      </w:r>
    </w:p>
    <w:p w:rsidR="00C16ECA" w:rsidRDefault="00643664">
      <w:pPr>
        <w:pStyle w:val="a4"/>
        <w:snapToGrid w:val="0"/>
        <w:spacing w:before="0" w:beforeAutospacing="0" w:after="0" w:afterAutospacing="0" w:line="600" w:lineRule="exact"/>
        <w:ind w:firstLineChars="200" w:firstLine="560"/>
        <w:rPr>
          <w:rFonts w:cs="Tahoma"/>
          <w:color w:val="0000FF"/>
          <w:sz w:val="28"/>
          <w:szCs w:val="28"/>
        </w:rPr>
      </w:pPr>
      <w:r>
        <w:rPr>
          <w:rFonts w:cs="Tahoma" w:hint="eastAsia"/>
          <w:color w:val="000000" w:themeColor="text1"/>
          <w:sz w:val="28"/>
          <w:szCs w:val="28"/>
        </w:rPr>
        <w:t>2020年收入总计1621万元，支出总计1621万元，与2019年相比，收、支总计各减少5万元，降低0.3%。主要原因是检察机构改革后，根据办案业务情况，各项业务情况稳定，收入支出安排基本与上年持平。</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二、收入预算说明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lastRenderedPageBreak/>
        <w:t>2020年收入预算1621万元，其中：部门预算结转0万元，财政拨款收入869.3万元，罚没收入751.7万元，纳入预算管理的行政事业性收费收入0万元，专项收入0万元，国有资源（资产）有偿使用收入0万元，捐赠收入、政府住房基金收入及其他收入0万元，政府性基金收入0万元，财政专户管理的资金收入0万元，中央省专项转移支付0万元，其他各项收入0万元。</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三、支出预算总体情况说明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2020年支出预算1621万元，其中：基本支出1491万元，占92%；项目支出130万元，占8%。</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四、财政拨款收入支出预算总体情况说明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2020年一般公共预算收支预算1621万元。与 2019 年相比，一般公共预算收支预算增加165万元，提升11.3 %，增加的主要原因：2019年中央告知的转移支付为170万元，2020年此项列入了一般公共预算中</w:t>
      </w:r>
      <w:r>
        <w:rPr>
          <w:rFonts w:cs="Tahoma"/>
          <w:sz w:val="28"/>
          <w:szCs w:val="28"/>
        </w:rPr>
        <w:t>。</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五、一般公共预算支出预算情况说明</w:t>
      </w:r>
    </w:p>
    <w:p w:rsidR="00C16ECA" w:rsidRDefault="00643664">
      <w:pPr>
        <w:pStyle w:val="a4"/>
        <w:snapToGrid w:val="0"/>
        <w:spacing w:before="0" w:beforeAutospacing="0" w:after="0" w:afterAutospacing="0" w:line="600" w:lineRule="exact"/>
        <w:ind w:firstLineChars="200" w:firstLine="560"/>
        <w:rPr>
          <w:rFonts w:cs="Tahoma"/>
          <w:color w:val="FF0000"/>
          <w:sz w:val="28"/>
          <w:szCs w:val="28"/>
        </w:rPr>
      </w:pPr>
      <w:r>
        <w:rPr>
          <w:rFonts w:cs="Tahoma" w:hint="eastAsia"/>
          <w:sz w:val="28"/>
          <w:szCs w:val="28"/>
        </w:rPr>
        <w:t>2020年一般公共预算支出年初预算为1621万元。主要用于以下方面：公共安全（类）支出1445万元，占年初预算89.1 %；社会保障和就业支出 117.9万元，占年初预算7.3%；住房保障支出58万，占年初预算3.6%。</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六、一般公共预算基本支出预算情况说明</w:t>
      </w:r>
    </w:p>
    <w:p w:rsidR="00C16ECA" w:rsidRDefault="00643664">
      <w:pPr>
        <w:pStyle w:val="a4"/>
        <w:snapToGrid w:val="0"/>
        <w:spacing w:before="0" w:beforeAutospacing="0" w:after="0" w:afterAutospacing="0" w:line="600" w:lineRule="exact"/>
        <w:ind w:firstLineChars="200" w:firstLine="560"/>
        <w:rPr>
          <w:rFonts w:cs="Tahoma"/>
          <w:color w:val="FF0000"/>
          <w:sz w:val="28"/>
          <w:szCs w:val="28"/>
        </w:rPr>
      </w:pPr>
      <w:r>
        <w:rPr>
          <w:rFonts w:cs="Tahoma" w:hint="eastAsia"/>
          <w:sz w:val="28"/>
          <w:szCs w:val="28"/>
        </w:rPr>
        <w:t>2020年一般公共预算基本支出1491万元，其中：人员经费 918万元，主要包括：基本工资、津贴补贴、奖金、社会保障缴费、绩效工资、离休费、退休费、遗属补助、住房公积金等；公用经费573万</w:t>
      </w:r>
      <w:r>
        <w:rPr>
          <w:rFonts w:cs="Tahoma" w:hint="eastAsia"/>
          <w:sz w:val="28"/>
          <w:szCs w:val="28"/>
        </w:rPr>
        <w:lastRenderedPageBreak/>
        <w:t>元，主要包括：办公费、印刷费、咨询费、手续费、水费、电费、邮电费、取暖费、物业管理费、差旅费、因公出国（境）费、维修（护）费、租赁费、会议费、培训费、公务接待费、专用材料费、劳务费、工会经费、福利费、公务用车运行维护费、其他交通费用、办公设备购置、专用设备购置、大型修缮、信息网络及软件购置更新、其他资本性支出等。</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七、政府性</w:t>
      </w:r>
      <w:r w:rsidR="002D61F6">
        <w:rPr>
          <w:rFonts w:cs="Tahoma" w:hint="eastAsia"/>
          <w:b/>
          <w:sz w:val="28"/>
          <w:szCs w:val="28"/>
        </w:rPr>
        <w:t>基金预算支出</w:t>
      </w:r>
      <w:r>
        <w:rPr>
          <w:rFonts w:cs="Tahoma" w:hint="eastAsia"/>
          <w:b/>
          <w:sz w:val="28"/>
          <w:szCs w:val="28"/>
        </w:rPr>
        <w:t>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我单位2020年无政府性基金预算支出。</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t>八、“三公”经费支出预算情况说明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2020年“三公”经费预算为90.15万元。2020年“三公”经费支出预算数比 2019年减少15.05万元。</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具体支出情况如下：</w:t>
      </w:r>
      <w:bookmarkStart w:id="0" w:name="_GoBack"/>
      <w:bookmarkEnd w:id="0"/>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（1）因公出国（境）费0万元，与2019年相比无变化。</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公务用车购置及运行费90万元，其中，公务用车购置费0万元；公务用车运行维护费90万元，主要用于开展工作所需公务用车的燃料费、维修费、过路过桥费、保险费等支出。公务用车购置费预算数比2019年相比无变化。公务用车运行维护费相比2019年下降15万元。原因是：一是检察机构改革后，自侦案件部门减少，办案业务量预计有所下降；二是厉</w:t>
      </w:r>
      <w:r>
        <w:rPr>
          <w:rFonts w:cs="Tahoma"/>
          <w:sz w:val="28"/>
          <w:szCs w:val="28"/>
        </w:rPr>
        <w:t>行公车改革，</w:t>
      </w:r>
      <w:r>
        <w:rPr>
          <w:rFonts w:cs="Tahoma" w:hint="eastAsia"/>
          <w:sz w:val="28"/>
          <w:szCs w:val="28"/>
        </w:rPr>
        <w:t>严格执行中央八项规定，加强公车管理，</w:t>
      </w:r>
      <w:r>
        <w:rPr>
          <w:rFonts w:cs="Tahoma"/>
          <w:sz w:val="28"/>
          <w:szCs w:val="28"/>
        </w:rPr>
        <w:t>公务用车运行维护费下降。</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（3）公务接待费0.15万元。预算数与 2019年减少0.05万元。减少的主要原因是</w:t>
      </w:r>
      <w:r>
        <w:rPr>
          <w:rFonts w:cs="Tahoma"/>
          <w:sz w:val="28"/>
          <w:szCs w:val="28"/>
        </w:rPr>
        <w:t>严格执行</w:t>
      </w:r>
      <w:r>
        <w:rPr>
          <w:rFonts w:cs="Tahoma" w:hint="eastAsia"/>
          <w:sz w:val="28"/>
          <w:szCs w:val="28"/>
        </w:rPr>
        <w:t>中央</w:t>
      </w:r>
      <w:r>
        <w:rPr>
          <w:rFonts w:cs="Tahoma"/>
          <w:sz w:val="28"/>
          <w:szCs w:val="28"/>
        </w:rPr>
        <w:t>八项规定，</w:t>
      </w:r>
      <w:r>
        <w:rPr>
          <w:rFonts w:cs="Tahoma" w:hint="eastAsia"/>
          <w:sz w:val="28"/>
          <w:szCs w:val="28"/>
        </w:rPr>
        <w:t>减少</w:t>
      </w:r>
      <w:r>
        <w:rPr>
          <w:rFonts w:cs="Tahoma"/>
          <w:sz w:val="28"/>
          <w:szCs w:val="28"/>
        </w:rPr>
        <w:t>公务活动接待，</w:t>
      </w:r>
      <w:r>
        <w:rPr>
          <w:rFonts w:cs="Tahoma" w:hint="eastAsia"/>
          <w:sz w:val="28"/>
          <w:szCs w:val="28"/>
        </w:rPr>
        <w:t>严格按照标准接待，</w:t>
      </w:r>
      <w:r>
        <w:rPr>
          <w:rFonts w:cs="Tahoma"/>
          <w:sz w:val="28"/>
          <w:szCs w:val="28"/>
        </w:rPr>
        <w:t>接待任务减少</w:t>
      </w:r>
      <w:r>
        <w:rPr>
          <w:rFonts w:cs="Tahoma" w:hint="eastAsia"/>
          <w:sz w:val="28"/>
          <w:szCs w:val="28"/>
        </w:rPr>
        <w:t>。</w:t>
      </w:r>
    </w:p>
    <w:p w:rsidR="00C16ECA" w:rsidRDefault="00643664">
      <w:pPr>
        <w:pStyle w:val="a4"/>
        <w:snapToGrid w:val="0"/>
        <w:spacing w:before="0" w:beforeAutospacing="0" w:after="0" w:afterAutospacing="0" w:line="600" w:lineRule="exact"/>
        <w:ind w:firstLineChars="200" w:firstLine="562"/>
        <w:rPr>
          <w:rFonts w:cs="Tahoma"/>
          <w:b/>
          <w:sz w:val="28"/>
          <w:szCs w:val="28"/>
        </w:rPr>
      </w:pPr>
      <w:r>
        <w:rPr>
          <w:rFonts w:cs="Tahoma" w:hint="eastAsia"/>
          <w:b/>
          <w:sz w:val="28"/>
          <w:szCs w:val="28"/>
        </w:rPr>
        <w:lastRenderedPageBreak/>
        <w:t>九、其他重要事项的情况说明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（一）机关运行经费支出情况</w:t>
      </w:r>
    </w:p>
    <w:p w:rsidR="00C16ECA" w:rsidRDefault="00643664">
      <w:pPr>
        <w:pStyle w:val="a4"/>
        <w:spacing w:before="0" w:beforeAutospacing="0" w:after="0" w:afterAutospacing="0" w:line="600" w:lineRule="exact"/>
        <w:ind w:firstLineChars="200" w:firstLine="560"/>
        <w:rPr>
          <w:rFonts w:cs="Tahoma"/>
          <w:sz w:val="28"/>
          <w:szCs w:val="28"/>
        </w:rPr>
      </w:pPr>
      <w:r>
        <w:rPr>
          <w:rFonts w:cs="Tahoma" w:hint="eastAsia"/>
          <w:sz w:val="28"/>
          <w:szCs w:val="28"/>
        </w:rPr>
        <w:t>我单位2020年机关运行经费支出预算</w:t>
      </w:r>
      <w:r w:rsidR="006D2ACF">
        <w:rPr>
          <w:rFonts w:cs="Tahoma" w:hint="eastAsia"/>
          <w:sz w:val="28"/>
          <w:szCs w:val="28"/>
        </w:rPr>
        <w:t>573</w:t>
      </w:r>
      <w:r>
        <w:rPr>
          <w:rFonts w:cs="Tahoma" w:hint="eastAsia"/>
          <w:sz w:val="28"/>
          <w:szCs w:val="28"/>
        </w:rPr>
        <w:t>万元，主要保障机关正常运转及正常履职需要。</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（二）政府采购支出情况</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我单位2020年政府采购预算安排70万元，其中：政府采购货物预算70万元、政府采购工程预算0万元、政府采购服务预算0万元。</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（三）国有资本经营预算支出情况</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我单位国有资本经营预算支出为0万元。</w:t>
      </w:r>
    </w:p>
    <w:p w:rsidR="00C16ECA" w:rsidRDefault="00643664">
      <w:pPr>
        <w:pStyle w:val="a4"/>
        <w:numPr>
          <w:ilvl w:val="0"/>
          <w:numId w:val="1"/>
        </w:numPr>
        <w:snapToGrid w:val="0"/>
        <w:spacing w:before="0" w:beforeAutospacing="0" w:after="0" w:afterAutospacing="0" w:line="600" w:lineRule="exact"/>
        <w:ind w:firstLineChars="200" w:firstLine="560"/>
        <w:rPr>
          <w:rFonts w:cs="Tahoma"/>
          <w:sz w:val="28"/>
          <w:szCs w:val="28"/>
        </w:rPr>
      </w:pPr>
      <w:r>
        <w:rPr>
          <w:rFonts w:cs="Tahoma" w:hint="eastAsia"/>
          <w:sz w:val="28"/>
          <w:szCs w:val="28"/>
        </w:rPr>
        <w:t>重点项目预算的绩效目标等预算绩效情况说明</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2019年，我单位共组织对1个项目进行了预算绩效评价，涉及资金167万元。2020年，我单位拟组织对1个项目进行预算绩效评价，涉及资金154万元。</w:t>
      </w:r>
    </w:p>
    <w:tbl>
      <w:tblPr>
        <w:tblpPr w:leftFromText="180" w:rightFromText="180" w:vertAnchor="text" w:horzAnchor="page" w:tblpX="1190" w:tblpY="718"/>
        <w:tblOverlap w:val="never"/>
        <w:tblW w:w="10335" w:type="dxa"/>
        <w:tblLayout w:type="fixed"/>
        <w:tblCellMar>
          <w:top w:w="15" w:type="dxa"/>
          <w:left w:w="15" w:type="dxa"/>
          <w:bottom w:w="15" w:type="dxa"/>
          <w:right w:w="15" w:type="dxa"/>
        </w:tblCellMar>
        <w:tblLook w:val="04A0"/>
      </w:tblPr>
      <w:tblGrid>
        <w:gridCol w:w="1328"/>
        <w:gridCol w:w="1620"/>
        <w:gridCol w:w="1498"/>
        <w:gridCol w:w="4272"/>
        <w:gridCol w:w="1617"/>
      </w:tblGrid>
      <w:tr w:rsidR="00C16ECA">
        <w:trPr>
          <w:trHeight w:val="420"/>
        </w:trPr>
        <w:tc>
          <w:tcPr>
            <w:tcW w:w="13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专项名称</w:t>
            </w:r>
          </w:p>
        </w:tc>
        <w:tc>
          <w:tcPr>
            <w:tcW w:w="90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中央政法转移支付资金</w:t>
            </w:r>
          </w:p>
        </w:tc>
      </w:tr>
      <w:tr w:rsidR="00C16ECA">
        <w:trPr>
          <w:trHeight w:val="420"/>
        </w:trPr>
        <w:tc>
          <w:tcPr>
            <w:tcW w:w="13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省份</w:t>
            </w:r>
          </w:p>
        </w:tc>
        <w:tc>
          <w:tcPr>
            <w:tcW w:w="90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河南省</w:t>
            </w:r>
          </w:p>
        </w:tc>
      </w:tr>
      <w:tr w:rsidR="00C16ECA">
        <w:trPr>
          <w:trHeight w:val="420"/>
        </w:trPr>
        <w:tc>
          <w:tcPr>
            <w:tcW w:w="13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县级财政部门</w:t>
            </w:r>
          </w:p>
        </w:tc>
        <w:tc>
          <w:tcPr>
            <w:tcW w:w="90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漯河市舞阳县财政局</w:t>
            </w:r>
          </w:p>
        </w:tc>
      </w:tr>
      <w:tr w:rsidR="00C16ECA">
        <w:trPr>
          <w:trHeight w:val="420"/>
        </w:trPr>
        <w:tc>
          <w:tcPr>
            <w:tcW w:w="1328" w:type="dxa"/>
            <w:tcBorders>
              <w:top w:val="single" w:sz="4" w:space="0" w:color="000000"/>
              <w:left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市级主管部门</w:t>
            </w:r>
          </w:p>
        </w:tc>
        <w:tc>
          <w:tcPr>
            <w:tcW w:w="900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漯河市人民检察院</w:t>
            </w:r>
          </w:p>
        </w:tc>
      </w:tr>
      <w:tr w:rsidR="00C16ECA">
        <w:trPr>
          <w:trHeight w:val="420"/>
        </w:trPr>
        <w:tc>
          <w:tcPr>
            <w:tcW w:w="1328"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资金</w:t>
            </w:r>
            <w:r>
              <w:rPr>
                <w:rFonts w:ascii="宋体" w:hAnsi="宋体" w:cs="宋体" w:hint="eastAsia"/>
                <w:color w:val="000000"/>
                <w:kern w:val="0"/>
                <w:sz w:val="20"/>
                <w:szCs w:val="20"/>
              </w:rPr>
              <w:br/>
              <w:t>情况</w:t>
            </w:r>
            <w:r>
              <w:rPr>
                <w:rFonts w:ascii="宋体" w:hAnsi="宋体" w:cs="宋体" w:hint="eastAsia"/>
                <w:color w:val="000000"/>
                <w:kern w:val="0"/>
                <w:sz w:val="20"/>
                <w:szCs w:val="20"/>
              </w:rPr>
              <w:br/>
              <w:t>（万元）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年度金额：</w:t>
            </w:r>
          </w:p>
        </w:tc>
        <w:tc>
          <w:tcPr>
            <w:tcW w:w="738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154</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C16ECA">
            <w:pPr>
              <w:jc w:val="center"/>
              <w:rPr>
                <w:rFonts w:ascii="宋体" w:hAnsi="宋体" w:cs="宋体"/>
                <w:color w:val="000000"/>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其中：中央补助</w:t>
            </w:r>
          </w:p>
        </w:tc>
        <w:tc>
          <w:tcPr>
            <w:tcW w:w="738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sz w:val="20"/>
                <w:szCs w:val="20"/>
              </w:rPr>
              <w:t>95</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C16ECA">
            <w:pPr>
              <w:jc w:val="center"/>
              <w:rPr>
                <w:rFonts w:ascii="宋体" w:hAnsi="宋体" w:cs="宋体"/>
                <w:color w:val="000000"/>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 xml:space="preserve">      地方资金</w:t>
            </w:r>
          </w:p>
        </w:tc>
        <w:tc>
          <w:tcPr>
            <w:tcW w:w="7387"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59(省级）</w:t>
            </w:r>
          </w:p>
        </w:tc>
      </w:tr>
      <w:tr w:rsidR="00C16ECA">
        <w:trPr>
          <w:trHeight w:val="420"/>
        </w:trPr>
        <w:tc>
          <w:tcPr>
            <w:tcW w:w="1328" w:type="dxa"/>
            <w:vMerge w:val="restart"/>
            <w:tcBorders>
              <w:top w:val="single" w:sz="4" w:space="0" w:color="000000"/>
              <w:left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w:t>
            </w:r>
            <w:r>
              <w:rPr>
                <w:rFonts w:ascii="宋体" w:hAnsi="宋体" w:cs="宋体" w:hint="eastAsia"/>
                <w:color w:val="000000"/>
                <w:kern w:val="0"/>
                <w:sz w:val="20"/>
                <w:szCs w:val="20"/>
              </w:rPr>
              <w:br/>
              <w:t>度</w:t>
            </w:r>
            <w:r>
              <w:rPr>
                <w:rFonts w:ascii="宋体" w:hAnsi="宋体" w:cs="宋体" w:hint="eastAsia"/>
                <w:color w:val="000000"/>
                <w:kern w:val="0"/>
                <w:sz w:val="20"/>
                <w:szCs w:val="20"/>
              </w:rPr>
              <w:br/>
              <w:t>总</w:t>
            </w:r>
            <w:r>
              <w:rPr>
                <w:rFonts w:ascii="宋体" w:hAnsi="宋体" w:cs="宋体" w:hint="eastAsia"/>
                <w:color w:val="000000"/>
                <w:kern w:val="0"/>
                <w:sz w:val="20"/>
                <w:szCs w:val="20"/>
              </w:rPr>
              <w:br/>
              <w:t>体</w:t>
            </w:r>
            <w:r>
              <w:rPr>
                <w:rFonts w:ascii="宋体" w:hAnsi="宋体" w:cs="宋体" w:hint="eastAsia"/>
                <w:color w:val="000000"/>
                <w:kern w:val="0"/>
                <w:sz w:val="20"/>
                <w:szCs w:val="20"/>
              </w:rPr>
              <w:br/>
              <w:t>目</w:t>
            </w:r>
            <w:r>
              <w:rPr>
                <w:rFonts w:ascii="宋体" w:hAnsi="宋体" w:cs="宋体" w:hint="eastAsia"/>
                <w:color w:val="000000"/>
                <w:kern w:val="0"/>
                <w:sz w:val="20"/>
                <w:szCs w:val="20"/>
              </w:rPr>
              <w:br/>
              <w:t>标</w:t>
            </w:r>
          </w:p>
        </w:tc>
        <w:tc>
          <w:tcPr>
            <w:tcW w:w="900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认真履行审查逮捕审查起诉职能，全力维护社会稳定；认真履行刑事诉讼监督职能，有力维护司法公正和法制权威；认真开展民事行政检察和公益诉讼工作，有效维护群众合法权益和社会公共利益；站位全局，认真履行法律监督主责主业；通过履行宪法和法律赋予的职责，推进各项检察工作健康发展。</w:t>
            </w:r>
          </w:p>
        </w:tc>
      </w:tr>
      <w:tr w:rsidR="00C16ECA">
        <w:trPr>
          <w:trHeight w:val="420"/>
        </w:trPr>
        <w:tc>
          <w:tcPr>
            <w:tcW w:w="1328" w:type="dxa"/>
            <w:vMerge/>
            <w:tcBorders>
              <w:top w:val="single" w:sz="4" w:space="0" w:color="000000"/>
              <w:left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9007"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left"/>
              <w:rPr>
                <w:rFonts w:ascii="宋体" w:hAnsi="宋体" w:cs="宋体"/>
                <w:color w:val="000000"/>
                <w:sz w:val="20"/>
                <w:szCs w:val="20"/>
              </w:rPr>
            </w:pPr>
          </w:p>
        </w:tc>
      </w:tr>
      <w:tr w:rsidR="00C16ECA">
        <w:trPr>
          <w:trHeight w:val="420"/>
        </w:trPr>
        <w:tc>
          <w:tcPr>
            <w:tcW w:w="1328" w:type="dxa"/>
            <w:vMerge/>
            <w:tcBorders>
              <w:top w:val="single" w:sz="4" w:space="0" w:color="000000"/>
              <w:left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9007"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left"/>
              <w:rPr>
                <w:rFonts w:ascii="宋体" w:hAnsi="宋体" w:cs="宋体"/>
                <w:color w:val="000000"/>
                <w:sz w:val="20"/>
                <w:szCs w:val="20"/>
              </w:rPr>
            </w:pPr>
          </w:p>
        </w:tc>
      </w:tr>
      <w:tr w:rsidR="00C16ECA">
        <w:trPr>
          <w:trHeight w:val="312"/>
        </w:trPr>
        <w:tc>
          <w:tcPr>
            <w:tcW w:w="1328" w:type="dxa"/>
            <w:vMerge/>
            <w:tcBorders>
              <w:top w:val="single" w:sz="4" w:space="0" w:color="000000"/>
              <w:left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9007"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left"/>
              <w:rPr>
                <w:rFonts w:ascii="宋体" w:hAnsi="宋体" w:cs="宋体"/>
                <w:color w:val="000000"/>
                <w:sz w:val="20"/>
                <w:szCs w:val="20"/>
              </w:rPr>
            </w:pPr>
          </w:p>
        </w:tc>
      </w:tr>
      <w:tr w:rsidR="00C16ECA">
        <w:trPr>
          <w:trHeight w:val="420"/>
        </w:trPr>
        <w:tc>
          <w:tcPr>
            <w:tcW w:w="13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绩</w:t>
            </w:r>
            <w:r>
              <w:rPr>
                <w:rFonts w:ascii="宋体" w:hAnsi="宋体" w:cs="宋体" w:hint="eastAsia"/>
                <w:color w:val="000000"/>
                <w:kern w:val="0"/>
                <w:sz w:val="20"/>
                <w:szCs w:val="20"/>
              </w:rPr>
              <w:br/>
              <w:t>效</w:t>
            </w:r>
            <w:r>
              <w:rPr>
                <w:rFonts w:ascii="宋体" w:hAnsi="宋体" w:cs="宋体" w:hint="eastAsia"/>
                <w:color w:val="000000"/>
                <w:kern w:val="0"/>
                <w:sz w:val="20"/>
                <w:szCs w:val="20"/>
              </w:rPr>
              <w:br/>
              <w:t>指</w:t>
            </w:r>
            <w:r>
              <w:rPr>
                <w:rFonts w:ascii="宋体" w:hAnsi="宋体" w:cs="宋体" w:hint="eastAsia"/>
                <w:color w:val="000000"/>
                <w:kern w:val="0"/>
                <w:sz w:val="20"/>
                <w:szCs w:val="20"/>
              </w:rPr>
              <w:br/>
              <w:t>标</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一级指标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二级指标</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三级指标</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指标值</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产出指标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数量指标</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指标1：支持开展检察业务工作的单位数量（个）</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指标2：新增业务装备数量（件）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63</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指标3：受理审查逮捕案件数量（件）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169</w:t>
            </w:r>
          </w:p>
        </w:tc>
      </w:tr>
      <w:tr w:rsidR="00C16ECA">
        <w:trPr>
          <w:trHeight w:val="525"/>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指标4：受理一审公诉、二审上诉、二审再审抗诉案件数量（件）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283</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指标5：受理各类民事监督案件数量（件）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指标6：受理各类行政监督案件数量（件）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指标7：受理各类控告申诉案件数量（件）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指标8：司法救助案件受理数（件）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质量指标</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指标1：公诉案件审结率</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大于85%</w:t>
            </w:r>
          </w:p>
        </w:tc>
      </w:tr>
      <w:tr w:rsidR="00C16ECA">
        <w:trPr>
          <w:trHeight w:val="36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指标2：出庭支持公诉件数（件）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237</w:t>
            </w:r>
          </w:p>
        </w:tc>
      </w:tr>
      <w:tr w:rsidR="00C16ECA">
        <w:trPr>
          <w:trHeight w:val="345"/>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指标3：批准和决定逮捕人数（人）</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210</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效</w:t>
            </w:r>
            <w:r>
              <w:rPr>
                <w:rFonts w:ascii="宋体" w:hAnsi="宋体" w:cs="宋体" w:hint="eastAsia"/>
                <w:color w:val="000000"/>
                <w:kern w:val="0"/>
                <w:sz w:val="20"/>
                <w:szCs w:val="20"/>
              </w:rPr>
              <w:br/>
              <w:t>益</w:t>
            </w:r>
            <w:r>
              <w:rPr>
                <w:rFonts w:ascii="宋体" w:hAnsi="宋体" w:cs="宋体" w:hint="eastAsia"/>
                <w:color w:val="000000"/>
                <w:kern w:val="0"/>
                <w:sz w:val="20"/>
                <w:szCs w:val="20"/>
              </w:rPr>
              <w:br/>
              <w:t>指</w:t>
            </w:r>
            <w:r>
              <w:rPr>
                <w:rFonts w:ascii="宋体" w:hAnsi="宋体" w:cs="宋体" w:hint="eastAsia"/>
                <w:color w:val="000000"/>
                <w:kern w:val="0"/>
                <w:sz w:val="20"/>
                <w:szCs w:val="20"/>
              </w:rPr>
              <w:br/>
              <w:t>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经济效益</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指标1：监督执行财产刑金额（万元）</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160</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社会效益</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指标1：引导经费保障水平</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稳步提升</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指标2：“送法进校园”受教育人数（人）</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sz w:val="20"/>
                <w:szCs w:val="20"/>
              </w:rPr>
              <w:t>2200</w:t>
            </w:r>
          </w:p>
        </w:tc>
      </w:tr>
      <w:tr w:rsidR="00C16ECA">
        <w:trPr>
          <w:trHeight w:val="495"/>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指标3：涉检进京信访案件发生率是否低于全国平均率</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是</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指标4：刑事案件生效判决件数（件）</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175</w:t>
            </w:r>
          </w:p>
        </w:tc>
      </w:tr>
      <w:tr w:rsidR="00C16ECA">
        <w:trPr>
          <w:trHeight w:val="405"/>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left"/>
              <w:textAlignment w:val="bottom"/>
              <w:rPr>
                <w:rFonts w:ascii="宋体" w:hAnsi="宋体" w:cs="宋体"/>
                <w:color w:val="000000"/>
                <w:sz w:val="20"/>
                <w:szCs w:val="20"/>
              </w:rPr>
            </w:pPr>
            <w:r>
              <w:rPr>
                <w:rFonts w:ascii="宋体" w:hAnsi="宋体" w:cs="宋体" w:hint="eastAsia"/>
                <w:color w:val="000000"/>
                <w:kern w:val="0"/>
                <w:sz w:val="20"/>
                <w:szCs w:val="20"/>
              </w:rPr>
              <w:t>指标5：监督案件生效判决人数（人）</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6ECA" w:rsidRDefault="00643664">
            <w:pPr>
              <w:widowControl/>
              <w:jc w:val="center"/>
              <w:textAlignment w:val="bottom"/>
              <w:rPr>
                <w:rFonts w:ascii="宋体" w:hAnsi="宋体" w:cs="宋体"/>
                <w:color w:val="000000"/>
                <w:sz w:val="20"/>
                <w:szCs w:val="20"/>
              </w:rPr>
            </w:pPr>
            <w:r>
              <w:rPr>
                <w:rFonts w:ascii="宋体" w:hAnsi="宋体" w:cs="宋体" w:hint="eastAsia"/>
                <w:color w:val="000000"/>
                <w:kern w:val="0"/>
                <w:sz w:val="20"/>
                <w:szCs w:val="20"/>
              </w:rPr>
              <w:t>39</w:t>
            </w:r>
          </w:p>
        </w:tc>
      </w:tr>
      <w:tr w:rsidR="00C16ECA">
        <w:trPr>
          <w:trHeight w:val="420"/>
        </w:trPr>
        <w:tc>
          <w:tcPr>
            <w:tcW w:w="13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C16ECA">
            <w:pPr>
              <w:jc w:val="center"/>
              <w:rPr>
                <w:rFonts w:ascii="宋体" w:hAnsi="宋体" w:cs="宋体"/>
                <w:color w:val="000000"/>
                <w:sz w:val="20"/>
                <w:szCs w:val="20"/>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满意度</w:t>
            </w:r>
          </w:p>
        </w:tc>
        <w:tc>
          <w:tcPr>
            <w:tcW w:w="14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服务对象满意度</w:t>
            </w:r>
          </w:p>
        </w:tc>
        <w:tc>
          <w:tcPr>
            <w:tcW w:w="4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指标1：信访群众满意度</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ECA" w:rsidRDefault="0064366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大于75%</w:t>
            </w:r>
          </w:p>
        </w:tc>
      </w:tr>
    </w:tbl>
    <w:p w:rsidR="00C16ECA" w:rsidRDefault="00C16ECA">
      <w:pPr>
        <w:pStyle w:val="a4"/>
        <w:snapToGrid w:val="0"/>
        <w:spacing w:before="0" w:beforeAutospacing="0" w:after="0" w:afterAutospacing="0" w:line="600" w:lineRule="exact"/>
        <w:ind w:firstLineChars="200" w:firstLine="560"/>
        <w:rPr>
          <w:rFonts w:cs="Tahoma"/>
          <w:sz w:val="28"/>
          <w:szCs w:val="28"/>
        </w:rPr>
      </w:pP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从而实现更好地履行审查逮捕审查起诉职能，全力维护社会稳定；认真履行刑事诉讼监督职能，有力维护司法公正和法制权威；认真开展民事行政检察和公益诉讼工作，有效维护群众合法权益和社会公共利益；站位全局，认真履行法律监督职责；通过履行宪法和法律赋予的职责，推进各项检察工作健康发展。</w:t>
      </w:r>
    </w:p>
    <w:p w:rsidR="00C16ECA" w:rsidRDefault="00643664">
      <w:pPr>
        <w:pStyle w:val="a4"/>
        <w:snapToGrid w:val="0"/>
        <w:spacing w:before="0" w:beforeAutospacing="0" w:after="0" w:afterAutospacing="0" w:line="600" w:lineRule="exact"/>
        <w:ind w:firstLineChars="200" w:firstLine="560"/>
        <w:rPr>
          <w:rFonts w:cs="Tahoma"/>
          <w:b/>
          <w:color w:val="FF0000"/>
          <w:sz w:val="28"/>
          <w:szCs w:val="28"/>
        </w:rPr>
      </w:pPr>
      <w:r>
        <w:rPr>
          <w:rFonts w:cs="Tahoma" w:hint="eastAsia"/>
          <w:sz w:val="28"/>
          <w:szCs w:val="28"/>
        </w:rPr>
        <w:t>（五）国有资产占用情况</w:t>
      </w:r>
    </w:p>
    <w:p w:rsidR="00C16ECA" w:rsidRDefault="00643664">
      <w:pPr>
        <w:ind w:firstLineChars="200" w:firstLine="560"/>
        <w:rPr>
          <w:rFonts w:ascii="宋体" w:hAnsi="宋体" w:cs="Tahoma"/>
          <w:kern w:val="0"/>
          <w:sz w:val="28"/>
          <w:szCs w:val="28"/>
        </w:rPr>
      </w:pPr>
      <w:r>
        <w:rPr>
          <w:rFonts w:ascii="宋体" w:hAnsi="宋体" w:cs="Tahoma"/>
          <w:kern w:val="0"/>
          <w:sz w:val="28"/>
          <w:szCs w:val="28"/>
        </w:rPr>
        <w:t>201</w:t>
      </w:r>
      <w:r>
        <w:rPr>
          <w:rFonts w:ascii="宋体" w:hAnsi="宋体" w:cs="Tahoma" w:hint="eastAsia"/>
          <w:kern w:val="0"/>
          <w:sz w:val="28"/>
          <w:szCs w:val="28"/>
        </w:rPr>
        <w:t>9</w:t>
      </w:r>
      <w:r>
        <w:rPr>
          <w:rFonts w:ascii="宋体" w:hAnsi="宋体" w:cs="Tahoma"/>
          <w:kern w:val="0"/>
          <w:sz w:val="28"/>
          <w:szCs w:val="28"/>
        </w:rPr>
        <w:t>年期末，我</w:t>
      </w:r>
      <w:r>
        <w:rPr>
          <w:rFonts w:ascii="宋体" w:hAnsi="宋体" w:cs="Tahoma" w:hint="eastAsia"/>
          <w:kern w:val="0"/>
          <w:sz w:val="28"/>
          <w:szCs w:val="28"/>
        </w:rPr>
        <w:t>单位</w:t>
      </w:r>
      <w:r>
        <w:rPr>
          <w:rFonts w:ascii="宋体" w:hAnsi="宋体" w:cs="Tahoma"/>
          <w:kern w:val="0"/>
          <w:sz w:val="28"/>
          <w:szCs w:val="28"/>
        </w:rPr>
        <w:t>共有车辆</w:t>
      </w:r>
      <w:r>
        <w:rPr>
          <w:rFonts w:ascii="宋体" w:hAnsi="宋体" w:cs="Tahoma" w:hint="eastAsia"/>
          <w:kern w:val="0"/>
          <w:sz w:val="28"/>
          <w:szCs w:val="28"/>
        </w:rPr>
        <w:t>15</w:t>
      </w:r>
      <w:r>
        <w:rPr>
          <w:rFonts w:ascii="宋体" w:hAnsi="宋体" w:cs="Tahoma"/>
          <w:kern w:val="0"/>
          <w:sz w:val="28"/>
          <w:szCs w:val="28"/>
        </w:rPr>
        <w:t>辆，其中：</w:t>
      </w:r>
      <w:r>
        <w:rPr>
          <w:rFonts w:ascii="宋体" w:hAnsi="宋体" w:cs="Tahoma" w:hint="eastAsia"/>
          <w:kern w:val="0"/>
          <w:sz w:val="28"/>
          <w:szCs w:val="28"/>
        </w:rPr>
        <w:t>一般公务用车1辆，</w:t>
      </w:r>
      <w:r>
        <w:rPr>
          <w:rFonts w:ascii="宋体" w:hAnsi="宋体" w:cs="Tahoma" w:hint="eastAsia"/>
          <w:kern w:val="0"/>
          <w:sz w:val="28"/>
          <w:szCs w:val="28"/>
        </w:rPr>
        <w:lastRenderedPageBreak/>
        <w:t>一般执法执勤用车7辆，特种专业技术用车7辆。单位价值50万元以上通用设备3台（套），单位价值100万元以上专用设备0台（套）。</w:t>
      </w:r>
    </w:p>
    <w:p w:rsidR="00C16ECA" w:rsidRDefault="00643664">
      <w:pPr>
        <w:pStyle w:val="a4"/>
        <w:snapToGrid w:val="0"/>
        <w:spacing w:before="0" w:beforeAutospacing="0" w:after="0" w:afterAutospacing="0" w:line="600" w:lineRule="exact"/>
        <w:ind w:firstLineChars="200" w:firstLine="560"/>
        <w:rPr>
          <w:rFonts w:cs="Tahoma"/>
          <w:b/>
          <w:color w:val="FF0000"/>
          <w:sz w:val="28"/>
          <w:szCs w:val="28"/>
        </w:rPr>
      </w:pPr>
      <w:r>
        <w:rPr>
          <w:rFonts w:cs="Tahoma" w:hint="eastAsia"/>
          <w:sz w:val="28"/>
          <w:szCs w:val="28"/>
        </w:rPr>
        <w:t>（六）专项转移支付项目情况</w:t>
      </w:r>
    </w:p>
    <w:p w:rsidR="00C16ECA" w:rsidRDefault="00643664">
      <w:pPr>
        <w:pStyle w:val="a4"/>
        <w:snapToGrid w:val="0"/>
        <w:spacing w:before="0" w:beforeAutospacing="0" w:after="0" w:afterAutospacing="0" w:line="600" w:lineRule="exact"/>
        <w:ind w:firstLineChars="200" w:firstLine="560"/>
        <w:rPr>
          <w:rFonts w:cs="Tahoma"/>
          <w:sz w:val="28"/>
          <w:szCs w:val="28"/>
        </w:rPr>
      </w:pPr>
      <w:r>
        <w:rPr>
          <w:rFonts w:cs="Tahoma" w:hint="eastAsia"/>
          <w:sz w:val="28"/>
          <w:szCs w:val="28"/>
        </w:rPr>
        <w:t>我单位负责管理的专项转移支付项目共有1项，主要是：中央（省级）政法转移支付专项资金154万；我单位将按照《预算法》等有关规定，积极做好项目资金使用工作。</w:t>
      </w:r>
    </w:p>
    <w:p w:rsidR="00D02339" w:rsidRDefault="00D02339">
      <w:pPr>
        <w:pStyle w:val="a4"/>
        <w:snapToGrid w:val="0"/>
        <w:spacing w:before="0" w:beforeAutospacing="0" w:after="0" w:afterAutospacing="0" w:line="600" w:lineRule="exact"/>
        <w:ind w:firstLineChars="200" w:firstLine="560"/>
        <w:rPr>
          <w:rFonts w:cs="Tahoma"/>
          <w:sz w:val="28"/>
          <w:szCs w:val="28"/>
        </w:rPr>
      </w:pPr>
    </w:p>
    <w:p w:rsidR="00D02339" w:rsidRDefault="00D02339">
      <w:pPr>
        <w:pStyle w:val="a4"/>
        <w:snapToGrid w:val="0"/>
        <w:spacing w:before="0" w:beforeAutospacing="0" w:after="0" w:afterAutospacing="0" w:line="600" w:lineRule="exact"/>
        <w:ind w:firstLineChars="200" w:firstLine="560"/>
        <w:rPr>
          <w:rFonts w:cs="Tahoma"/>
          <w:sz w:val="28"/>
          <w:szCs w:val="28"/>
        </w:rPr>
      </w:pPr>
    </w:p>
    <w:p w:rsidR="00D02339" w:rsidRDefault="00D02339">
      <w:pPr>
        <w:pStyle w:val="a4"/>
        <w:snapToGrid w:val="0"/>
        <w:spacing w:before="0" w:beforeAutospacing="0" w:after="0" w:afterAutospacing="0" w:line="600" w:lineRule="exact"/>
        <w:ind w:firstLineChars="200" w:firstLine="560"/>
        <w:rPr>
          <w:rFonts w:cs="Tahoma"/>
          <w:sz w:val="28"/>
          <w:szCs w:val="28"/>
        </w:rPr>
      </w:pPr>
    </w:p>
    <w:p w:rsidR="00D02339" w:rsidRPr="00D02339" w:rsidRDefault="00D02339" w:rsidP="00D02339">
      <w:pPr>
        <w:pStyle w:val="a4"/>
        <w:snapToGrid w:val="0"/>
        <w:spacing w:before="0" w:beforeAutospacing="0" w:after="0" w:afterAutospacing="0" w:line="600" w:lineRule="exact"/>
        <w:ind w:firstLineChars="1250" w:firstLine="3514"/>
        <w:rPr>
          <w:rFonts w:cs="Tahoma"/>
          <w:b/>
          <w:sz w:val="28"/>
          <w:szCs w:val="28"/>
        </w:rPr>
      </w:pPr>
      <w:r w:rsidRPr="00D02339">
        <w:rPr>
          <w:rFonts w:cs="Tahoma" w:hint="eastAsia"/>
          <w:b/>
          <w:sz w:val="28"/>
          <w:szCs w:val="28"/>
        </w:rPr>
        <w:t>第三部分 名词解释</w:t>
      </w:r>
    </w:p>
    <w:p w:rsidR="00D02339" w:rsidRDefault="00D02339" w:rsidP="00D02339">
      <w:pPr>
        <w:pStyle w:val="a4"/>
        <w:spacing w:before="0" w:beforeAutospacing="0" w:after="0" w:afterAutospacing="0" w:line="560" w:lineRule="exact"/>
        <w:ind w:firstLineChars="1250" w:firstLine="3514"/>
        <w:rPr>
          <w:rStyle w:val="a5"/>
          <w:rFonts w:asciiTheme="minorEastAsia" w:hAnsiTheme="minorEastAsia"/>
          <w:sz w:val="28"/>
          <w:szCs w:val="28"/>
        </w:rPr>
      </w:pP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一、财政拨款：指一般公共预算财政拨款和政府性基金预算财政拨款。</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二、 一般公共预算：包括公共财政拨款（补助）资金、专项收入。</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三、财政专户管理资金：包括专户管理行政事业性收费（主要是教育收费）、其他非税收入。</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四 、 其他资金：包括事业收入、经营收入、其他收入等。</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五 、基本支出：指为保障机构正常运转、完成工作任务而发生的人员支出和公用支出。</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六 、项目支出：指在基本支出之外为完成特定工作任务和事业发展目标所发生的支出。</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lastRenderedPageBreak/>
        <w:t>七、“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桥过路费、保险费、安全奖励费用等支出；公务接待费反映单位按规定开支的各类公务接待（含外宾接待）支出。</w:t>
      </w:r>
    </w:p>
    <w:p w:rsidR="00D02339" w:rsidRPr="00D02339" w:rsidRDefault="00D02339" w:rsidP="00D02339">
      <w:pPr>
        <w:pStyle w:val="a4"/>
        <w:snapToGrid w:val="0"/>
        <w:spacing w:before="0" w:beforeAutospacing="0" w:after="0" w:afterAutospacing="0" w:line="600" w:lineRule="exact"/>
        <w:ind w:firstLineChars="200" w:firstLine="560"/>
        <w:rPr>
          <w:rFonts w:cs="Tahoma"/>
          <w:sz w:val="28"/>
          <w:szCs w:val="28"/>
        </w:rPr>
      </w:pPr>
      <w:r w:rsidRPr="00D02339">
        <w:rPr>
          <w:rFonts w:cs="Tahoma" w:hint="eastAsia"/>
          <w:sz w:val="28"/>
          <w:szCs w:val="28"/>
        </w:rPr>
        <w:t>八 、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rsidR="00D02339" w:rsidRDefault="00D02339">
      <w:pPr>
        <w:pStyle w:val="a4"/>
        <w:snapToGrid w:val="0"/>
        <w:spacing w:before="0" w:beforeAutospacing="0" w:after="0" w:afterAutospacing="0" w:line="600" w:lineRule="exact"/>
        <w:ind w:firstLineChars="200" w:firstLine="560"/>
        <w:rPr>
          <w:rFonts w:cs="Tahoma"/>
          <w:sz w:val="28"/>
          <w:szCs w:val="28"/>
        </w:rPr>
      </w:pPr>
    </w:p>
    <w:sectPr w:rsidR="00D02339" w:rsidSect="00C16EC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7C3" w:rsidRDefault="00A047C3" w:rsidP="00C16ECA">
      <w:r>
        <w:separator/>
      </w:r>
    </w:p>
  </w:endnote>
  <w:endnote w:type="continuationSeparator" w:id="0">
    <w:p w:rsidR="00A047C3" w:rsidRDefault="00A047C3" w:rsidP="00C16E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ECA" w:rsidRDefault="00D25DDC">
    <w:pPr>
      <w:pStyle w:val="a3"/>
      <w:jc w:val="center"/>
    </w:pPr>
    <w:r>
      <w:fldChar w:fldCharType="begin"/>
    </w:r>
    <w:r w:rsidR="00643664">
      <w:instrText xml:space="preserve"> PAGE   \* MERGEFORMAT </w:instrText>
    </w:r>
    <w:r>
      <w:fldChar w:fldCharType="separate"/>
    </w:r>
    <w:r w:rsidR="002D61F6" w:rsidRPr="002D61F6">
      <w:rPr>
        <w:noProof/>
        <w:lang w:val="zh-CN"/>
      </w:rPr>
      <w:t>6</w:t>
    </w:r>
    <w:r>
      <w:fldChar w:fldCharType="end"/>
    </w:r>
  </w:p>
  <w:p w:rsidR="00C16ECA" w:rsidRDefault="00C16EC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7C3" w:rsidRDefault="00A047C3" w:rsidP="00C16ECA">
      <w:r>
        <w:separator/>
      </w:r>
    </w:p>
  </w:footnote>
  <w:footnote w:type="continuationSeparator" w:id="0">
    <w:p w:rsidR="00A047C3" w:rsidRDefault="00A047C3" w:rsidP="00C16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02B22"/>
    <w:multiLevelType w:val="singleLevel"/>
    <w:tmpl w:val="2D302B22"/>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4826E15"/>
    <w:rsid w:val="002D61F6"/>
    <w:rsid w:val="00643664"/>
    <w:rsid w:val="006D2ACF"/>
    <w:rsid w:val="00823065"/>
    <w:rsid w:val="009D28CB"/>
    <w:rsid w:val="00A047C3"/>
    <w:rsid w:val="00C16ECA"/>
    <w:rsid w:val="00C2345C"/>
    <w:rsid w:val="00D02339"/>
    <w:rsid w:val="00D25DDC"/>
    <w:rsid w:val="02791862"/>
    <w:rsid w:val="09CE292C"/>
    <w:rsid w:val="0A541028"/>
    <w:rsid w:val="0BB3747C"/>
    <w:rsid w:val="0E872801"/>
    <w:rsid w:val="0F52330C"/>
    <w:rsid w:val="143F62F0"/>
    <w:rsid w:val="14826E15"/>
    <w:rsid w:val="167B3B90"/>
    <w:rsid w:val="17897488"/>
    <w:rsid w:val="180D6DD7"/>
    <w:rsid w:val="195016C5"/>
    <w:rsid w:val="1C082B6E"/>
    <w:rsid w:val="1DB3012B"/>
    <w:rsid w:val="1EEF289A"/>
    <w:rsid w:val="20FD3661"/>
    <w:rsid w:val="22992826"/>
    <w:rsid w:val="27BA0BC1"/>
    <w:rsid w:val="28BC0FB4"/>
    <w:rsid w:val="292853CA"/>
    <w:rsid w:val="29CA78D8"/>
    <w:rsid w:val="29F205C2"/>
    <w:rsid w:val="2B2A40FF"/>
    <w:rsid w:val="2C3D0FCB"/>
    <w:rsid w:val="2D351AE1"/>
    <w:rsid w:val="2F53192C"/>
    <w:rsid w:val="35B87DD1"/>
    <w:rsid w:val="37C53820"/>
    <w:rsid w:val="3D866C50"/>
    <w:rsid w:val="3F6D2FB4"/>
    <w:rsid w:val="40720089"/>
    <w:rsid w:val="40B5627F"/>
    <w:rsid w:val="46590CCA"/>
    <w:rsid w:val="49815E7E"/>
    <w:rsid w:val="49EF360A"/>
    <w:rsid w:val="4D292E02"/>
    <w:rsid w:val="51731335"/>
    <w:rsid w:val="536E2CA6"/>
    <w:rsid w:val="54E45DD2"/>
    <w:rsid w:val="567C623F"/>
    <w:rsid w:val="57860E60"/>
    <w:rsid w:val="59C71A62"/>
    <w:rsid w:val="5E2378A8"/>
    <w:rsid w:val="5EE9023D"/>
    <w:rsid w:val="61AC0562"/>
    <w:rsid w:val="6A572CDC"/>
    <w:rsid w:val="6D2777BD"/>
    <w:rsid w:val="6F496231"/>
    <w:rsid w:val="75AD4198"/>
    <w:rsid w:val="78FD4025"/>
    <w:rsid w:val="7C1C7BDF"/>
    <w:rsid w:val="7D6426A9"/>
    <w:rsid w:val="7D676E38"/>
    <w:rsid w:val="7E263B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6EC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16ECA"/>
    <w:pPr>
      <w:tabs>
        <w:tab w:val="center" w:pos="4153"/>
        <w:tab w:val="right" w:pos="8306"/>
      </w:tabs>
      <w:snapToGrid w:val="0"/>
      <w:jc w:val="left"/>
    </w:pPr>
    <w:rPr>
      <w:sz w:val="18"/>
      <w:szCs w:val="18"/>
    </w:rPr>
  </w:style>
  <w:style w:type="paragraph" w:styleId="a4">
    <w:name w:val="Normal (Web)"/>
    <w:basedOn w:val="a"/>
    <w:link w:val="Char"/>
    <w:unhideWhenUsed/>
    <w:qFormat/>
    <w:rsid w:val="00C16ECA"/>
    <w:pPr>
      <w:widowControl/>
      <w:spacing w:before="100" w:beforeAutospacing="1" w:after="100" w:afterAutospacing="1"/>
      <w:jc w:val="left"/>
    </w:pPr>
    <w:rPr>
      <w:rFonts w:ascii="宋体" w:hAnsi="宋体"/>
      <w:kern w:val="0"/>
      <w:sz w:val="24"/>
      <w:szCs w:val="24"/>
    </w:rPr>
  </w:style>
  <w:style w:type="character" w:styleId="a5">
    <w:name w:val="Strong"/>
    <w:uiPriority w:val="22"/>
    <w:qFormat/>
    <w:rsid w:val="00C16ECA"/>
    <w:rPr>
      <w:b/>
      <w:bCs/>
    </w:rPr>
  </w:style>
  <w:style w:type="paragraph" w:styleId="a6">
    <w:name w:val="header"/>
    <w:basedOn w:val="a"/>
    <w:link w:val="Char0"/>
    <w:rsid w:val="00C234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C2345C"/>
    <w:rPr>
      <w:rFonts w:ascii="Calibri" w:hAnsi="Calibri"/>
      <w:kern w:val="2"/>
      <w:sz w:val="18"/>
      <w:szCs w:val="18"/>
    </w:rPr>
  </w:style>
  <w:style w:type="paragraph" w:customStyle="1" w:styleId="1">
    <w:name w:val="列出段落1"/>
    <w:basedOn w:val="a"/>
    <w:uiPriority w:val="34"/>
    <w:qFormat/>
    <w:rsid w:val="00D02339"/>
    <w:pPr>
      <w:ind w:firstLineChars="200" w:firstLine="420"/>
    </w:pPr>
    <w:rPr>
      <w:rFonts w:asciiTheme="minorHAnsi" w:eastAsiaTheme="minorEastAsia" w:hAnsiTheme="minorHAnsi" w:cstheme="minorBidi"/>
      <w:szCs w:val="24"/>
    </w:rPr>
  </w:style>
  <w:style w:type="character" w:customStyle="1" w:styleId="Char">
    <w:name w:val="普通(网站) Char"/>
    <w:link w:val="a4"/>
    <w:qFormat/>
    <w:rsid w:val="00D02339"/>
    <w:rPr>
      <w:rFonts w:ascii="宋体" w:hAnsi="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10</Pages>
  <Words>694</Words>
  <Characters>3960</Characters>
  <Application>Microsoft Office Word</Application>
  <DocSecurity>0</DocSecurity>
  <Lines>33</Lines>
  <Paragraphs>9</Paragraphs>
  <ScaleCrop>false</ScaleCrop>
  <Company>daohangxitong.com</Company>
  <LinksUpToDate>false</LinksUpToDate>
  <CharactersWithSpaces>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Administrator</cp:lastModifiedBy>
  <cp:revision>5</cp:revision>
  <dcterms:created xsi:type="dcterms:W3CDTF">2020-03-16T10:44:00Z</dcterms:created>
  <dcterms:modified xsi:type="dcterms:W3CDTF">2021-06-07T03:29:00Z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