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60" w:rsidRPr="00D97AF2" w:rsidRDefault="00481E57" w:rsidP="0059036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</w:pPr>
      <w:r w:rsidRPr="00D97AF2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关于舞阳县2018年财政决算的报告</w:t>
      </w:r>
    </w:p>
    <w:p w:rsidR="007F1BB1" w:rsidRPr="00D97AF2" w:rsidRDefault="007F1BB1">
      <w:pPr>
        <w:spacing w:line="560" w:lineRule="exact"/>
        <w:jc w:val="center"/>
        <w:rPr>
          <w:rFonts w:ascii="楷体_GB2312" w:eastAsia="楷体_GB2312" w:hAnsi="方正小标宋简体" w:cs="方正小标宋简体"/>
          <w:b/>
          <w:bCs/>
          <w:color w:val="000000" w:themeColor="text1"/>
          <w:sz w:val="32"/>
          <w:szCs w:val="44"/>
        </w:rPr>
      </w:pPr>
    </w:p>
    <w:p w:rsidR="00ED4260" w:rsidRPr="00D97AF2" w:rsidRDefault="00481E57" w:rsidP="008C7E4B">
      <w:pPr>
        <w:spacing w:line="600" w:lineRule="exact"/>
        <w:ind w:firstLineChars="200" w:firstLine="640"/>
        <w:rPr>
          <w:rFonts w:ascii="黑体" w:eastAsia="黑体"/>
          <w:color w:val="000000" w:themeColor="text1"/>
          <w:sz w:val="32"/>
          <w:szCs w:val="32"/>
        </w:rPr>
      </w:pPr>
      <w:r w:rsidRPr="00D97AF2">
        <w:rPr>
          <w:rFonts w:ascii="黑体" w:eastAsia="黑体" w:hint="eastAsia"/>
          <w:color w:val="000000" w:themeColor="text1"/>
          <w:sz w:val="32"/>
          <w:szCs w:val="32"/>
        </w:rPr>
        <w:t>一、2018年财政收支决算情况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楷体_GB2312" w:eastAsia="楷体_GB2312" w:hAnsi="楷体" w:cs="楷体"/>
          <w:b/>
          <w:color w:val="000000" w:themeColor="text1"/>
          <w:sz w:val="32"/>
          <w:szCs w:val="32"/>
        </w:rPr>
      </w:pPr>
      <w:r w:rsidRPr="00D97AF2">
        <w:rPr>
          <w:rFonts w:ascii="楷体_GB2312" w:eastAsia="楷体_GB2312" w:hAnsi="楷体" w:cs="楷体" w:hint="eastAsia"/>
          <w:b/>
          <w:color w:val="000000" w:themeColor="text1"/>
          <w:sz w:val="32"/>
          <w:szCs w:val="32"/>
        </w:rPr>
        <w:t>（一）一般公共预算收支决算情况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2018年，全县一般公共预算收入预算117080万元，完成122281万元，占预算的104.4%，增长13.3%。全县一般公共预算支出预算265359万元，执行中加上上级补助等支出，调整后支出预算334374万元，完成334118万元，占预算的99.9%,增长9.1%。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2018年,县本级一般公共预算收入预算70252万元，完成71677万元，占预算的102%，增长11%。县本级一般公共预算支出预算216221万元，执行中加上上级补助等支出，调整后支出预算273034万元，完成272778万元，占预算的99.9%，增长9.7%。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按现行财政体制算账，2018年全县一般公共预算收入122281万元，加上返还性收入5020万元，一般性转移支付收入122783万元，专项转移支付收入82451万元，一般债券收入14677万元，上年结余收入572万元，调入资金17814万元，全县一般公共预算收入总计365598万元。全县一般公共预算支出完成334118万元，加上上解上级支出10868万元，一般债务还本支出4248万元，补充预算稳定调节基金16108万元，全县一般公共预算支出总计365342万元。收支总量相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抵，结余256万元。全县一般公共预算实现了收支平衡，略有结余。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楷体_GB2312" w:eastAsia="楷体_GB2312" w:hAnsi="楷体" w:cs="楷体"/>
          <w:b/>
          <w:color w:val="000000" w:themeColor="text1"/>
          <w:sz w:val="32"/>
          <w:szCs w:val="32"/>
        </w:rPr>
      </w:pPr>
      <w:r w:rsidRPr="00D97AF2">
        <w:rPr>
          <w:rFonts w:ascii="楷体_GB2312" w:eastAsia="楷体_GB2312" w:hAnsi="楷体" w:cs="楷体" w:hint="eastAsia"/>
          <w:b/>
          <w:color w:val="000000" w:themeColor="text1"/>
          <w:sz w:val="32"/>
          <w:szCs w:val="32"/>
        </w:rPr>
        <w:t>（二）政府性基金收支决算情况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2018年，政府性基金收入预算17958万元，完成27886万元，占预算的155.3%，增长73.9%。政府性基金支出调整预算35052万元，完成34943万元，占预算的99.7%，增长2.3%。政府性基金收入加上上级补助收入2071万元，上年结余收入54万元，新增政府专项债券收入15300万元，收入总计45311万元。政府性基金支出加上调出资金10259万元，上解上级支出17万元，支出总计45219万元。收支总量相抵，结余92万元。全县政府性基金实现了收支平衡，略有结余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楷体_GB2312" w:eastAsia="楷体_GB2312" w:hAnsi="楷体" w:cs="楷体"/>
          <w:b/>
          <w:color w:val="000000" w:themeColor="text1"/>
          <w:sz w:val="32"/>
          <w:szCs w:val="32"/>
        </w:rPr>
      </w:pPr>
      <w:r w:rsidRPr="00D97AF2">
        <w:rPr>
          <w:rFonts w:ascii="楷体_GB2312" w:eastAsia="楷体_GB2312" w:hAnsi="楷体" w:cs="楷体" w:hint="eastAsia"/>
          <w:b/>
          <w:color w:val="000000" w:themeColor="text1"/>
          <w:sz w:val="32"/>
          <w:szCs w:val="32"/>
        </w:rPr>
        <w:t>（三）社会保险基金收支决算情况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社会保险基金收入完成72042万元，增长6.3%。社会保险基金支出完成78388万元，增长13.4%。2018年社会保险基金收支结余</w:t>
      </w:r>
      <w:r w:rsidRPr="00D97AF2">
        <w:rPr>
          <w:rFonts w:ascii="仿宋_GB2312" w:eastAsia="仿宋_GB2312" w:hAnsi="仿宋_GB2312" w:hint="eastAsia"/>
          <w:color w:val="000000" w:themeColor="text1"/>
          <w:sz w:val="32"/>
        </w:rPr>
        <w:t>-6346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万元，加上以前年度结余</w:t>
      </w:r>
      <w:r w:rsidRPr="00D97AF2">
        <w:rPr>
          <w:rFonts w:ascii="仿宋_GB2312" w:eastAsia="仿宋_GB2312" w:hAnsi="仿宋_GB2312" w:hint="eastAsia"/>
          <w:color w:val="000000" w:themeColor="text1"/>
          <w:sz w:val="32"/>
        </w:rPr>
        <w:t>59367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万元，年末滚存结余</w:t>
      </w:r>
      <w:r w:rsidRPr="00D97AF2">
        <w:rPr>
          <w:rFonts w:ascii="仿宋_GB2312" w:eastAsia="仿宋_GB2312" w:hAnsi="仿宋_GB2312" w:hint="eastAsia"/>
          <w:color w:val="000000" w:themeColor="text1"/>
          <w:sz w:val="32"/>
        </w:rPr>
        <w:t>53021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万元。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楷体_GB2312" w:eastAsia="楷体_GB2312"/>
          <w:b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t>（四）上级转移支付资金安排使用情况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2018年，上级财政部门对我县各项补助收入212325万元。其中一般公共预算补助收入210254万元，政府性基金补助收入2071万元。在一般公共预算补助收入中：增值税、消费税和所得税基数返还等返还性收入5020万元，一般性转移支付收入122783万元，专项转移支付收入82451万元。</w:t>
      </w:r>
      <w:r w:rsidRPr="00D97AF2">
        <w:rPr>
          <w:rFonts w:ascii="仿宋_GB2312" w:eastAsia="仿宋_GB2312" w:hAnsi="FangSong_GB2312" w:cs="FangSong_GB2312" w:hint="eastAsia"/>
          <w:color w:val="000000" w:themeColor="text1"/>
          <w:sz w:val="32"/>
          <w:szCs w:val="32"/>
        </w:rPr>
        <w:t>税收返还和一</w:t>
      </w:r>
      <w:r w:rsidRPr="00D97AF2">
        <w:rPr>
          <w:rFonts w:ascii="仿宋_GB2312" w:eastAsia="仿宋_GB2312" w:hAnsi="FangSong_GB2312" w:cs="FangSong_GB2312" w:hint="eastAsia"/>
          <w:color w:val="000000" w:themeColor="text1"/>
          <w:sz w:val="32"/>
          <w:szCs w:val="32"/>
        </w:rPr>
        <w:lastRenderedPageBreak/>
        <w:t>般性转移支付资金主要用于人员工资、机构运转、教育、社会保障和就业、医疗卫生等方面；专项转移支付资金主要用于脱贫攻坚、农业、教育、社会保障、医疗卫生等项目建设。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以上转移支付资金，市财政及时足额下达我县，有力保障了全县财政预算顺利执行和项目实施。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楷体_GB2312" w:eastAsia="楷体_GB2312"/>
          <w:b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t>（五）县本级超收收入和预备费安排使用情况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2018年全县一般公共预算收入超收5201万元，其中县本级超收1425万元，乡镇超收3776万元。一般公共预算超收收入全部用于补充预算稳定调节基金，调入2019年一般公共预算统筹使用。2018年，县本级一般公共预算预备费安排4108万元，用于重点民生项目和应急支出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楷体_GB2312" w:eastAsia="楷体_GB2312"/>
          <w:b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t>（六）举借债务规模和安排使用情况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 w:hAnsi="FangSong_GB2312" w:hint="eastAsia"/>
          <w:color w:val="000000" w:themeColor="text1"/>
          <w:sz w:val="32"/>
        </w:rPr>
      </w:pPr>
      <w:r w:rsidRPr="00D97AF2">
        <w:rPr>
          <w:rFonts w:ascii="仿宋_GB2312" w:eastAsia="仿宋_GB2312" w:hAnsi="FangSong_GB2312" w:hint="eastAsia"/>
          <w:color w:val="000000" w:themeColor="text1"/>
          <w:sz w:val="32"/>
        </w:rPr>
        <w:t>2018年，上级下达我县再融资一般债券资金4248万元，用于偿还2018年到期债务。下达我县新增政府债券资金25729万元，其中一般债券10429万元，用于县委党校新校区建设5000万元、汽车站游园周边城市“双修”工程2129万元、城区公厕建设工程300万元、龙泉水源工程3000万元；专项债券15300万元用于华润雪花啤酒厂厂区等8块土地的收购储备。</w:t>
      </w:r>
    </w:p>
    <w:p w:rsidR="003A0CF4" w:rsidRPr="00D97AF2" w:rsidRDefault="00481E57" w:rsidP="008C7E4B">
      <w:pPr>
        <w:spacing w:line="600" w:lineRule="exact"/>
        <w:ind w:firstLineChars="200" w:firstLine="640"/>
        <w:rPr>
          <w:rFonts w:ascii="黑体" w:eastAsia="黑体"/>
          <w:color w:val="000000" w:themeColor="text1"/>
          <w:sz w:val="32"/>
          <w:szCs w:val="32"/>
        </w:rPr>
        <w:sectPr w:rsidR="003A0CF4" w:rsidRPr="00D97AF2" w:rsidSect="003A0CF4">
          <w:footerReference w:type="even" r:id="rId7"/>
          <w:footerReference w:type="default" r:id="rId8"/>
          <w:footerReference w:type="first" r:id="rId9"/>
          <w:pgSz w:w="11905" w:h="16838" w:orient="landscape"/>
          <w:pgMar w:top="1701" w:right="1701" w:bottom="1417" w:left="1418" w:header="851" w:footer="992" w:gutter="0"/>
          <w:pgNumType w:fmt="numberInDash"/>
          <w:cols w:space="0"/>
          <w:titlePg/>
          <w:docGrid w:type="lines" w:linePitch="319"/>
        </w:sectPr>
      </w:pPr>
      <w:r w:rsidRPr="00D97AF2">
        <w:rPr>
          <w:rFonts w:ascii="黑体" w:eastAsia="黑体" w:hint="eastAsia"/>
          <w:color w:val="000000" w:themeColor="text1"/>
          <w:sz w:val="32"/>
          <w:szCs w:val="32"/>
        </w:rPr>
        <w:t>二、2018年县人代会批准的预算和有关决议落实情况</w:t>
      </w:r>
    </w:p>
    <w:p w:rsidR="00ED4260" w:rsidRPr="00D97AF2" w:rsidRDefault="00481E57" w:rsidP="008C7E4B">
      <w:pPr>
        <w:spacing w:line="600" w:lineRule="exact"/>
        <w:ind w:firstLineChars="200" w:firstLine="640"/>
        <w:textAlignment w:val="baseline"/>
        <w:rPr>
          <w:rFonts w:ascii="仿宋_GB2312" w:eastAsia="仿宋_GB2312"/>
          <w:color w:val="000000" w:themeColor="text1"/>
          <w:sz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</w:rPr>
        <w:lastRenderedPageBreak/>
        <w:t>2018年，我们按照县人代会批准的预算和有关决议要求，有效实施积极的财政政策，持续加大对脱贫攻坚、环保攻坚、基本民生等重点领域保障力度，深入推进财税改革，切实加强财政管理，有力促进了全县高质量发展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t>（一）积极拓宽增收渠道。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持续深化依法治税工作。通过利用涉税信息、开展老旧小区和保险业增值税专项治理、耕地占用税清收等工作，累计组织征收和查补税款1.25亿元。大力推进企业法人本地化。坚持政府引导与市场运作相结合，扶持促进与规范管理相结合，鼓励符合条件的县外企业在我县设立独立法人机构16家，累计缴纳税款4123万元。深化“三块地”改革，认真贯彻落实城乡土地综合挂钩政策，实施全域土地综合整治，转让剩余土地指标1262亩，实现财政收入1.95亿元。严格落实盘活财政存量资金政策，将单项工作已结束的净结余和连续两年未用完的结转资金，全部收回财政统筹使用，组织清理了以前年度财政存量资金4.2亿元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t>（二）支持打好三大攻坚战。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积极防范政府性债务风险，按照“全口径、全覆盖、实事求是”的原则，对全县政府隐性债务全面开展自查，澄清隐性债务底子，制定了化解方案，通过严格落实政府债务属地管理职责、强化预算约束、加强债务预警监测、提升偿债能力等措施，建立完善控制和化解债务风险保障机制。围绕全县脱贫巩固提升工作目标，按照“因需而整、应整尽整”的原则，整合到位财政涉农资金2.1亿元，支持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实施扶贫项目6大类88个。其中县本级投入扶贫专项资金2700万元，较上年增加500万元。严格扶贫资金管理，实行专人管理、专账核算、国库集中支付，加强日常监管，组织绩效评价，保障资金安全高效使用。拨付环保专项资金10862万元，支持大气、水、土壤污染防治和农村环境整治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t>（三）支持全县五项重点工作。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围绕全县“三五三三”工作布局，统筹安排财力，突出财政支持重点。支持产业转型升级，制定重组方案，积极推动投融资平台市场化转型，舞阳投资集团有限公司成功转型为不承担政府债务的国有企业。拨付资金3473万元，奖励永银化工等8家公司自主创新。支持百城建设提质工程，围绕规划编制、道路畅通、生态水系、城市“双修”等七个方面46个重点项目，累计完成投资23.4亿元，其中财政资金4.2亿元。支持乡村振兴战略，拨付村集体经济扶持资金1270万元，支持村集体经济发展；筹措资金1223万元，支持保和乡美丽乡村项目建设；提高村级运转经费和村干部报酬标准，村均公用经费提高到12.5万元，村党组织书记每月报酬提高到1500元，村主任提高到1200元，其他两委干部提高到900元。拨付资金3.42亿元，支持项目建设用地拆迁补偿；拨付经费418万元，支持全县招商工作。支持保障改善民生，全县一般公共预算用于民生方面的资金25.3亿元，民生支出占比达75.6%，有力保障了工资、社保、教育、医疗卫生等基本民生支出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楷体_GB2312" w:eastAsia="楷体_GB2312" w:hint="eastAsia"/>
          <w:b/>
          <w:color w:val="000000" w:themeColor="text1"/>
          <w:sz w:val="32"/>
          <w:szCs w:val="32"/>
        </w:rPr>
        <w:lastRenderedPageBreak/>
        <w:t>（四）坚持深化完善财政预算管理。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不断改进预算管理，在县直70个预算单位全面推行部门预算，提高部门预算公用经费定额标准，财政保障能力不断增强。严格控制临时预算，除涉及重大民生事项外，取消临时经费类预算，强化预算执行刚性。积极推行预决算公开，将全县2018年政府预算、县直单位部门预算和2017年决算情况全部在政府网站公开，接受社会监督。规范税收入库级次，综合考虑企业属地、税种性质等因素，对县乡收入级次进行划分，厘清了县乡收入范围。完善县乡财政管理体制，根据一般公共预算收入完成情况，提高对乡镇税收超基数奖励比例，激发了乡镇抓好财源建设的积极性。</w:t>
      </w:r>
    </w:p>
    <w:p w:rsidR="00ED4260" w:rsidRPr="00D97AF2" w:rsidRDefault="00481E57" w:rsidP="008C7E4B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总体看，2018年全县财政决算情况较好，但仍面临一些困难和问题：</w:t>
      </w:r>
      <w:r w:rsidRPr="00D97AF2">
        <w:rPr>
          <w:rFonts w:ascii="仿宋_GB2312" w:eastAsia="仿宋_GB2312" w:hint="eastAsia"/>
          <w:color w:val="000000" w:themeColor="text1"/>
          <w:sz w:val="32"/>
        </w:rPr>
        <w:t>国家持续推行减税降费政策，</w:t>
      </w:r>
      <w:r w:rsidRPr="00D97AF2">
        <w:rPr>
          <w:rFonts w:ascii="仿宋_GB2312" w:eastAsia="仿宋_GB2312" w:hAnsi="FangSong_GB2312" w:cs="FangSong_GB2312" w:hint="eastAsia"/>
          <w:color w:val="000000" w:themeColor="text1"/>
          <w:sz w:val="32"/>
          <w:szCs w:val="32"/>
        </w:rPr>
        <w:t>政策性减收因素不断增多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  <w:r w:rsidRPr="00D97AF2">
        <w:rPr>
          <w:rFonts w:ascii="仿宋_GB2312" w:eastAsia="仿宋_GB2312" w:hAnsi="宋体" w:cs="Times New Roman" w:hint="eastAsia"/>
          <w:color w:val="000000" w:themeColor="text1"/>
          <w:sz w:val="32"/>
        </w:rPr>
        <w:t>支出刚性不断增加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，保障能力与各种利益诉求之间差距进一步拉大；部门预算管理制度需要不断完善</w:t>
      </w:r>
      <w:r w:rsidRPr="00D97AF2">
        <w:rPr>
          <w:rFonts w:ascii="仿宋_GB2312" w:eastAsia="仿宋_GB2312" w:hAnsi="仿宋_GB2312" w:cs="仿宋_GB2312" w:hint="eastAsia"/>
          <w:color w:val="000000" w:themeColor="text1"/>
          <w:sz w:val="32"/>
        </w:rPr>
        <w:t>，财政资金绩效有待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进一步</w:t>
      </w:r>
      <w:r w:rsidRPr="00D97AF2">
        <w:rPr>
          <w:rFonts w:ascii="仿宋_GB2312" w:eastAsia="仿宋_GB2312" w:hAnsi="仿宋_GB2312" w:cs="仿宋_GB2312" w:hint="eastAsia"/>
          <w:color w:val="000000" w:themeColor="text1"/>
          <w:sz w:val="32"/>
        </w:rPr>
        <w:t>提高</w:t>
      </w:r>
      <w:r w:rsidRPr="00D97AF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等</w:t>
      </w:r>
      <w:r w:rsidRPr="00D97AF2">
        <w:rPr>
          <w:rFonts w:ascii="仿宋_GB2312" w:eastAsia="仿宋_GB2312" w:hint="eastAsia"/>
          <w:color w:val="000000" w:themeColor="text1"/>
          <w:sz w:val="32"/>
          <w:szCs w:val="32"/>
        </w:rPr>
        <w:t>。县审计局对2018年县本级财政预算执行情况进行了认真审计，指出了存在的问题，提出了很好的意见和建议，针对审计提出的问题，我们正在落实相关整改措施。</w:t>
      </w:r>
    </w:p>
    <w:p w:rsidR="00ED4260" w:rsidRPr="00D97AF2" w:rsidRDefault="00481E57" w:rsidP="008C7E4B">
      <w:pPr>
        <w:spacing w:line="600" w:lineRule="exact"/>
        <w:ind w:firstLineChars="200" w:firstLine="648"/>
        <w:rPr>
          <w:rFonts w:ascii="黑体" w:eastAsia="黑体" w:hAnsi="黑体"/>
          <w:color w:val="000000" w:themeColor="text1"/>
          <w:sz w:val="32"/>
        </w:rPr>
      </w:pPr>
      <w:r w:rsidRPr="00D97AF2">
        <w:rPr>
          <w:rFonts w:ascii="黑体" w:eastAsia="黑体" w:hAnsi="黑体" w:hint="eastAsia"/>
          <w:color w:val="000000" w:themeColor="text1"/>
          <w:spacing w:val="2"/>
          <w:kern w:val="0"/>
          <w:sz w:val="32"/>
        </w:rPr>
        <w:t>三、强化问题导向，进一步提高财政预算管理水平</w:t>
      </w:r>
    </w:p>
    <w:p w:rsidR="003A0CF4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 w:hAnsi="Calibri" w:cs="Times New Roman"/>
          <w:color w:val="000000" w:themeColor="text1"/>
          <w:sz w:val="32"/>
          <w:szCs w:val="32"/>
        </w:rPr>
        <w:sectPr w:rsidR="003A0CF4" w:rsidRPr="00D97AF2" w:rsidSect="003A0CF4">
          <w:footerReference w:type="even" r:id="rId10"/>
          <w:footerReference w:type="default" r:id="rId11"/>
          <w:footerReference w:type="first" r:id="rId12"/>
          <w:pgSz w:w="11905" w:h="16838" w:orient="landscape"/>
          <w:pgMar w:top="1701" w:right="1701" w:bottom="1417" w:left="1418" w:header="851" w:footer="992" w:gutter="0"/>
          <w:pgNumType w:fmt="numberInDash"/>
          <w:cols w:space="0"/>
          <w:titlePg/>
          <w:docGrid w:type="lines" w:linePitch="319"/>
        </w:sectPr>
      </w:pPr>
      <w:r w:rsidRPr="00D97AF2">
        <w:rPr>
          <w:rFonts w:ascii="楷体_GB2312" w:eastAsia="楷体_GB2312" w:hAnsi="楷体" w:cs="楷体" w:hint="eastAsia"/>
          <w:b/>
          <w:bCs/>
          <w:color w:val="000000" w:themeColor="text1"/>
          <w:sz w:val="32"/>
          <w:szCs w:val="32"/>
        </w:rPr>
        <w:t>（一）坚持</w:t>
      </w:r>
      <w:r w:rsidRPr="00D97AF2">
        <w:rPr>
          <w:rFonts w:ascii="楷体_GB2312" w:eastAsia="楷体_GB2312" w:hAnsi="楷体" w:cs="楷体" w:hint="eastAsia"/>
          <w:b/>
          <w:bCs/>
          <w:color w:val="000000" w:themeColor="text1"/>
          <w:spacing w:val="-2"/>
          <w:sz w:val="32"/>
          <w:szCs w:val="32"/>
        </w:rPr>
        <w:t>挖潜增收，扩大收入规模。</w:t>
      </w:r>
      <w:r w:rsidRPr="00D97AF2">
        <w:rPr>
          <w:rFonts w:ascii="仿宋_GB2312" w:eastAsia="仿宋_GB2312" w:hAnsi="仿宋" w:cs="Times New Roman" w:hint="eastAsia"/>
          <w:color w:val="000000" w:themeColor="text1"/>
          <w:sz w:val="32"/>
        </w:rPr>
        <w:t>深入开展企业服务活动，</w:t>
      </w:r>
      <w:r w:rsidRPr="00D97AF2">
        <w:rPr>
          <w:rFonts w:ascii="仿宋_GB2312" w:eastAsia="仿宋_GB2312" w:hAnsi="仿宋_GB2312" w:cs="仿宋_GB2312" w:hint="eastAsia"/>
          <w:color w:val="000000" w:themeColor="text1"/>
          <w:spacing w:val="-2"/>
          <w:sz w:val="32"/>
          <w:szCs w:val="32"/>
        </w:rPr>
        <w:t>加大扶持重点企业、主导产业、重点行业、新兴产业发展</w:t>
      </w:r>
      <w:r w:rsidRPr="00D97AF2">
        <w:rPr>
          <w:rFonts w:ascii="Calibri" w:eastAsia="仿宋_GB2312" w:hAnsi="新宋体" w:cs="Times New Roman" w:hint="eastAsia"/>
          <w:color w:val="000000" w:themeColor="text1"/>
          <w:sz w:val="32"/>
        </w:rPr>
        <w:t>。</w:t>
      </w:r>
      <w:r w:rsidRPr="00D97AF2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处理好减税降费和应收尽收的关系，依法积极组织财政收入，让企业应享尽享、应缴尽缴。</w:t>
      </w:r>
      <w:r w:rsidRPr="00D97AF2">
        <w:rPr>
          <w:rFonts w:ascii="仿宋_GB2312" w:eastAsia="仿宋_GB2312" w:hAnsi="仿宋_GB2312" w:cs="仿宋_GB2312" w:hint="eastAsia"/>
          <w:color w:val="000000" w:themeColor="text1"/>
          <w:spacing w:val="-2"/>
          <w:sz w:val="32"/>
          <w:szCs w:val="32"/>
        </w:rPr>
        <w:t>抓好新兴财源建设，</w:t>
      </w: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制定招引总部</w:t>
      </w:r>
    </w:p>
    <w:p w:rsidR="00ED4260" w:rsidRPr="00D97AF2" w:rsidRDefault="00481E57" w:rsidP="00886279">
      <w:pPr>
        <w:spacing w:line="600" w:lineRule="exact"/>
        <w:rPr>
          <w:rFonts w:ascii="仿宋_GB2312" w:eastAsia="仿宋_GB2312" w:hAnsi="仿宋_GB2312" w:cs="仿宋_GB2312"/>
          <w:b/>
          <w:bCs/>
          <w:color w:val="000000" w:themeColor="text1"/>
          <w:spacing w:val="-2"/>
          <w:sz w:val="32"/>
          <w:szCs w:val="32"/>
        </w:rPr>
      </w:pP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lastRenderedPageBreak/>
        <w:t>经济实施细则，严格落实对企业的优惠政策和对招引单位的奖励政策；继续推进市场经营主体独立法人化注册工作，确保在我县的工程建设项目税收不流失。开展房地产业、民办教育行业税收和耕地占用税等专项整治，堵塞零星税源的“跑冒滴漏”</w:t>
      </w:r>
      <w:r w:rsidRPr="00D97AF2">
        <w:rPr>
          <w:rFonts w:ascii="仿宋_GB2312" w:eastAsia="仿宋_GB2312" w:hAnsi="仿宋_GB2312" w:cs="仿宋_GB2312" w:hint="eastAsia"/>
          <w:color w:val="000000" w:themeColor="text1"/>
          <w:spacing w:val="-2"/>
          <w:sz w:val="32"/>
          <w:szCs w:val="32"/>
        </w:rPr>
        <w:t>，做到依法征收，应收尽收。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D97AF2">
        <w:rPr>
          <w:rFonts w:ascii="楷体_GB2312" w:eastAsia="楷体_GB2312" w:hAnsi="楷体" w:cs="楷体" w:hint="eastAsia"/>
          <w:b/>
          <w:bCs/>
          <w:color w:val="000000" w:themeColor="text1"/>
          <w:sz w:val="32"/>
          <w:szCs w:val="32"/>
        </w:rPr>
        <w:t>（二）坚持开源节流，增强保障能力。</w:t>
      </w:r>
      <w:r w:rsidRPr="00D97AF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严格执行部门预算，不断提高预算执行刚性，严控一切经费类临时预算</w:t>
      </w:r>
      <w:r w:rsidR="00273E54" w:rsidRPr="00D97AF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 w:rsidRPr="00D97AF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着力保障“三保”支出。继续整合盘活财政存量资金，将长期沉淀闲置和短期内不需要使用的财政资金及时调整，减少绩效不高的项目资金安排，统筹用于“三保”等重点支出。</w:t>
      </w:r>
      <w:r w:rsidRPr="00D97AF2">
        <w:rPr>
          <w:rFonts w:ascii="仿宋_GB2312" w:eastAsia="仿宋_GB2312" w:hint="eastAsia"/>
          <w:color w:val="000000" w:themeColor="text1"/>
          <w:sz w:val="32"/>
        </w:rPr>
        <w:t>按照国务院和上级财政部门要求，</w:t>
      </w:r>
      <w:r w:rsidR="005238DF" w:rsidRPr="00D97AF2">
        <w:rPr>
          <w:rFonts w:ascii="仿宋_GB2312" w:eastAsia="仿宋_GB2312" w:hint="eastAsia"/>
          <w:color w:val="000000" w:themeColor="text1"/>
          <w:sz w:val="32"/>
        </w:rPr>
        <w:t>“</w:t>
      </w:r>
      <w:r w:rsidRPr="00D97AF2">
        <w:rPr>
          <w:rFonts w:ascii="仿宋_GB2312" w:eastAsia="仿宋_GB2312" w:hint="eastAsia"/>
          <w:color w:val="000000" w:themeColor="text1"/>
          <w:sz w:val="32"/>
        </w:rPr>
        <w:t>三公</w:t>
      </w:r>
      <w:r w:rsidR="005238DF" w:rsidRPr="00D97AF2">
        <w:rPr>
          <w:rFonts w:ascii="仿宋_GB2312" w:eastAsia="仿宋_GB2312" w:hint="eastAsia"/>
          <w:color w:val="000000" w:themeColor="text1"/>
          <w:sz w:val="32"/>
        </w:rPr>
        <w:t>”</w:t>
      </w:r>
      <w:r w:rsidRPr="00D97AF2">
        <w:rPr>
          <w:rFonts w:ascii="仿宋_GB2312" w:eastAsia="仿宋_GB2312" w:hint="eastAsia"/>
          <w:color w:val="000000" w:themeColor="text1"/>
          <w:sz w:val="32"/>
        </w:rPr>
        <w:t>经费和一般性支出按10%压减，压减数量落实到部门，全县已压减预算1700万元</w:t>
      </w:r>
      <w:r w:rsidRPr="00D97AF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D4260" w:rsidRPr="00D97AF2" w:rsidRDefault="00481E57" w:rsidP="0079276B">
      <w:pPr>
        <w:spacing w:line="600" w:lineRule="exact"/>
        <w:ind w:firstLineChars="200" w:firstLine="640"/>
        <w:rPr>
          <w:rFonts w:ascii="仿宋_GB2312" w:eastAsia="仿宋_GB2312" w:hAnsi="Calibri" w:cs="Times New Roman"/>
          <w:color w:val="000000" w:themeColor="text1"/>
          <w:sz w:val="32"/>
          <w:szCs w:val="32"/>
        </w:rPr>
      </w:pPr>
      <w:r w:rsidRPr="00D97AF2">
        <w:rPr>
          <w:rFonts w:ascii="楷体_GB2312" w:eastAsia="楷体_GB2312" w:hAnsi="楷体" w:cs="楷体" w:hint="eastAsia"/>
          <w:b/>
          <w:bCs/>
          <w:color w:val="000000" w:themeColor="text1"/>
          <w:sz w:val="32"/>
          <w:szCs w:val="32"/>
        </w:rPr>
        <w:t>（三）坚持统筹协调，推动重点项目建设。</w:t>
      </w: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加大统筹整合财政涉农资金力度，紧盯项目实施进度，强化资金监管措施，加快整合资金支出进度，圆满完成脱贫攻坚资金考核目标任务。利用好国开行对接高速公路连接线PPP项目融资授信，</w:t>
      </w:r>
      <w:r w:rsidR="00632BA2"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适时</w:t>
      </w: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启动征地和拆迁工作，</w:t>
      </w:r>
      <w:r w:rsidR="00632BA2"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力争</w:t>
      </w: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年内</w:t>
      </w:r>
      <w:r w:rsidR="004E6AFC"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尽快</w:t>
      </w: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开工建设。督促北京碧水源公司解决融资问题，加快澧河水环境综合治理生态项目施工进度。积极推进北外环及连接道路、城乡水资源综合利用工程等PPP项目</w:t>
      </w:r>
      <w:r w:rsidR="000B1A28"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招引社会资本方</w:t>
      </w:r>
      <w:r w:rsidRPr="00D97AF2"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。</w:t>
      </w:r>
    </w:p>
    <w:p w:rsidR="00ED4260" w:rsidRPr="00D97AF2" w:rsidRDefault="00481E57" w:rsidP="0079276B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  <w:r w:rsidRPr="00D97AF2">
        <w:rPr>
          <w:rFonts w:ascii="楷体_GB2312" w:eastAsia="楷体_GB2312" w:hAnsi="楷体" w:cs="楷体" w:hint="eastAsia"/>
          <w:b/>
          <w:bCs/>
          <w:color w:val="000000" w:themeColor="text1"/>
          <w:sz w:val="32"/>
          <w:szCs w:val="32"/>
        </w:rPr>
        <w:t>（四）坚持提高绩效，不断完善预算管理制度。</w:t>
      </w:r>
      <w:r w:rsidRPr="00D97AF2">
        <w:rPr>
          <w:rFonts w:ascii="仿宋_GB2312" w:eastAsia="仿宋_GB2312" w:hAnsi="仿宋" w:cs="Times New Roman" w:hint="eastAsia"/>
          <w:color w:val="000000" w:themeColor="text1"/>
          <w:sz w:val="32"/>
        </w:rPr>
        <w:t>建立健全科学规范的预算绩效管理制度，完善绩效目标、绩效监控、绩</w:t>
      </w:r>
      <w:r w:rsidRPr="00D97AF2">
        <w:rPr>
          <w:rFonts w:ascii="仿宋_GB2312" w:eastAsia="仿宋_GB2312" w:hAnsi="仿宋" w:cs="Times New Roman" w:hint="eastAsia"/>
          <w:color w:val="000000" w:themeColor="text1"/>
          <w:sz w:val="32"/>
        </w:rPr>
        <w:lastRenderedPageBreak/>
        <w:t>效评价、结果</w:t>
      </w:r>
      <w:r w:rsidRPr="00D97AF2">
        <w:rPr>
          <w:rFonts w:ascii="仿宋_GB2312" w:eastAsia="仿宋_GB2312" w:hAnsi="仿宋_GB2312" w:cs="Times New Roman" w:hint="eastAsia"/>
          <w:color w:val="000000" w:themeColor="text1"/>
          <w:sz w:val="32"/>
          <w:shd w:val="clear" w:color="auto" w:fill="FFFFFF"/>
        </w:rPr>
        <w:t>应用等管理流程，逐步实现绩效评价结果与预算安排和政策调整挂钩，增强预算统筹能力，优化预算管理流程，调动部门的积极性、主动性。</w:t>
      </w:r>
      <w:r w:rsidRPr="00D97AF2">
        <w:rPr>
          <w:rFonts w:ascii="仿宋_GB2312" w:eastAsia="仿宋_GB2312" w:hAnsi="仿宋" w:cs="Times New Roman"/>
          <w:color w:val="000000" w:themeColor="text1"/>
          <w:sz w:val="32"/>
        </w:rPr>
        <w:t>加强预算评审结</w:t>
      </w:r>
      <w:r w:rsidRPr="00D97AF2">
        <w:rPr>
          <w:rFonts w:ascii="Calibri" w:eastAsia="仿宋_GB2312" w:hAnsi="新宋体" w:cs="Times New Roman"/>
          <w:color w:val="000000" w:themeColor="text1"/>
          <w:sz w:val="32"/>
        </w:rPr>
        <w:t>果运用，探索建立同类项目的标准化管理模式，不断提高项目支出安排的科学性。依法规范政府债券资金管理，全面提升政府债券资金使用的规范性、合规性。</w:t>
      </w:r>
      <w:r w:rsidRPr="00D97AF2">
        <w:rPr>
          <w:rFonts w:ascii="Calibri" w:eastAsia="仿宋_GB2312" w:hAnsi="新宋体" w:cs="Times New Roman" w:hint="eastAsia"/>
          <w:color w:val="000000" w:themeColor="text1"/>
          <w:sz w:val="32"/>
        </w:rPr>
        <w:t>积极稳妥化解政府</w:t>
      </w:r>
      <w:r w:rsidRPr="00D97AF2">
        <w:rPr>
          <w:rFonts w:ascii="Calibri" w:eastAsia="仿宋_GB2312" w:hAnsi="新宋体" w:cs="Times New Roman"/>
          <w:color w:val="000000" w:themeColor="text1"/>
          <w:sz w:val="32"/>
        </w:rPr>
        <w:t>隐性债务</w:t>
      </w:r>
      <w:r w:rsidRPr="00D97AF2">
        <w:rPr>
          <w:rFonts w:ascii="Calibri" w:eastAsia="仿宋_GB2312" w:hAnsi="新宋体" w:cs="Times New Roman" w:hint="eastAsia"/>
          <w:color w:val="000000" w:themeColor="text1"/>
          <w:sz w:val="32"/>
        </w:rPr>
        <w:t>，</w:t>
      </w:r>
      <w:r w:rsidRPr="00D97AF2">
        <w:rPr>
          <w:rFonts w:ascii="仿宋_GB2312" w:eastAsia="仿宋_GB2312" w:hAnsi="仿宋" w:cs="Times New Roman" w:hint="eastAsia"/>
          <w:color w:val="000000" w:themeColor="text1"/>
          <w:sz w:val="32"/>
        </w:rPr>
        <w:t>控制和防范政府债务风险，为全县经济社会高</w:t>
      </w:r>
      <w:bookmarkStart w:id="0" w:name="_GoBack"/>
      <w:bookmarkEnd w:id="0"/>
      <w:r w:rsidRPr="00D97AF2">
        <w:rPr>
          <w:rFonts w:ascii="仿宋_GB2312" w:eastAsia="仿宋_GB2312" w:hAnsi="仿宋" w:cs="Times New Roman" w:hint="eastAsia"/>
          <w:color w:val="000000" w:themeColor="text1"/>
          <w:sz w:val="32"/>
        </w:rPr>
        <w:t>质量发展提供良好环境。</w:t>
      </w:r>
    </w:p>
    <w:p w:rsidR="007F1BB1" w:rsidRPr="00D97AF2" w:rsidRDefault="007F1BB1" w:rsidP="007F1BB1">
      <w:pPr>
        <w:spacing w:line="600" w:lineRule="exact"/>
        <w:ind w:firstLineChars="200" w:firstLine="640"/>
        <w:textAlignment w:val="baseline"/>
        <w:rPr>
          <w:rFonts w:ascii="FangSong_GB2312" w:eastAsia="FangSong_GB2312"/>
          <w:color w:val="000000" w:themeColor="text1"/>
          <w:sz w:val="32"/>
          <w:szCs w:val="32"/>
        </w:rPr>
      </w:pPr>
      <w:r w:rsidRPr="00D97AF2">
        <w:rPr>
          <w:rFonts w:ascii="仿宋_GB2312" w:eastAsia="仿宋_GB2312" w:hAnsi="FangSong_GB2312" w:cs="FangSong_GB2312" w:hint="eastAsia"/>
          <w:color w:val="000000" w:themeColor="text1"/>
          <w:sz w:val="32"/>
          <w:szCs w:val="32"/>
        </w:rPr>
        <w:t>主任、各位副主任、各位委员，当前财政改革发展任务繁重而艰巨。新形势承载新任务，新任务呼唤新担当，</w:t>
      </w:r>
      <w:r w:rsidRPr="00D97AF2">
        <w:rPr>
          <w:rFonts w:ascii="仿宋_GB2312" w:eastAsia="仿宋_GB2312" w:hAnsi="仿宋" w:hint="eastAsia"/>
          <w:color w:val="000000" w:themeColor="text1"/>
          <w:sz w:val="32"/>
          <w:szCs w:val="32"/>
        </w:rPr>
        <w:t>我们将继续在县委的正确领导和县人大的监督支持下，不忘初心，牢记使命，</w:t>
      </w:r>
      <w:r w:rsidRPr="00D97AF2">
        <w:rPr>
          <w:rFonts w:ascii="仿宋_GB2312" w:eastAsia="仿宋_GB2312" w:hAnsi="仿宋_GB2312" w:hint="eastAsia"/>
          <w:color w:val="000000" w:themeColor="text1"/>
          <w:sz w:val="32"/>
        </w:rPr>
        <w:t>团结进取，迎难而上，奋力开创财政改革发展新局面，为决胜全面建成小康社会</w:t>
      </w:r>
      <w:r w:rsidRPr="00D97AF2">
        <w:rPr>
          <w:rFonts w:ascii="仿宋_GB2312" w:eastAsia="仿宋_GB2312" w:hAnsi="仿宋" w:hint="eastAsia"/>
          <w:color w:val="000000" w:themeColor="text1"/>
          <w:sz w:val="32"/>
        </w:rPr>
        <w:t>、谱写中原更加出彩漯河增添浓彩舞阳新篇章而努力奋斗!</w:t>
      </w:r>
    </w:p>
    <w:p w:rsidR="007F1BB1" w:rsidRPr="00D97AF2" w:rsidRDefault="007F1BB1" w:rsidP="007F1BB1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</w:p>
    <w:p w:rsidR="00983FB7" w:rsidRPr="00D97AF2" w:rsidRDefault="00983FB7" w:rsidP="00983FB7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</w:p>
    <w:p w:rsidR="00983FB7" w:rsidRPr="00D97AF2" w:rsidRDefault="00983FB7" w:rsidP="00983FB7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</w:p>
    <w:p w:rsidR="00983FB7" w:rsidRPr="00D97AF2" w:rsidRDefault="00983FB7" w:rsidP="00983FB7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</w:p>
    <w:p w:rsidR="00983FB7" w:rsidRPr="00D97AF2" w:rsidRDefault="00983FB7" w:rsidP="00983FB7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</w:p>
    <w:p w:rsidR="00983FB7" w:rsidRPr="00D97AF2" w:rsidRDefault="00983FB7" w:rsidP="00983FB7">
      <w:pPr>
        <w:spacing w:line="600" w:lineRule="exact"/>
        <w:ind w:firstLineChars="200" w:firstLine="640"/>
        <w:jc w:val="left"/>
        <w:rPr>
          <w:rFonts w:ascii="仿宋_GB2312" w:eastAsia="仿宋_GB2312" w:hAnsi="仿宋" w:cs="Times New Roman"/>
          <w:color w:val="000000" w:themeColor="text1"/>
          <w:sz w:val="32"/>
        </w:rPr>
      </w:pPr>
      <w:r w:rsidRPr="00D97AF2">
        <w:rPr>
          <w:rFonts w:ascii="仿宋_GB2312" w:eastAsia="仿宋_GB2312" w:hAnsi="仿宋" w:cs="Times New Roman" w:hint="eastAsia"/>
          <w:color w:val="000000" w:themeColor="text1"/>
          <w:sz w:val="32"/>
        </w:rPr>
        <w:t xml:space="preserve">                             </w:t>
      </w:r>
    </w:p>
    <w:p w:rsidR="00ED4260" w:rsidRPr="00D97AF2" w:rsidRDefault="00ED4260">
      <w:pPr>
        <w:spacing w:line="560" w:lineRule="exact"/>
        <w:ind w:firstLineChars="200" w:firstLine="640"/>
        <w:rPr>
          <w:rFonts w:ascii="FangSong_GB2312" w:eastAsia="FangSong_GB2312"/>
          <w:color w:val="000000" w:themeColor="text1"/>
          <w:sz w:val="32"/>
          <w:szCs w:val="32"/>
        </w:rPr>
      </w:pPr>
    </w:p>
    <w:p w:rsidR="00ED4260" w:rsidRPr="00D97AF2" w:rsidRDefault="00ED4260">
      <w:pPr>
        <w:spacing w:line="560" w:lineRule="exact"/>
        <w:rPr>
          <w:rFonts w:ascii="FangSong_GB2312" w:eastAsia="FangSong_GB2312"/>
          <w:color w:val="000000" w:themeColor="text1"/>
          <w:sz w:val="32"/>
          <w:szCs w:val="32"/>
        </w:rPr>
      </w:pPr>
    </w:p>
    <w:sectPr w:rsidR="00ED4260" w:rsidRPr="00D97AF2" w:rsidSect="003A0CF4">
      <w:footerReference w:type="even" r:id="rId13"/>
      <w:footerReference w:type="first" r:id="rId14"/>
      <w:pgSz w:w="11905" w:h="16838" w:orient="landscape"/>
      <w:pgMar w:top="1701" w:right="1701" w:bottom="1417" w:left="1418" w:header="851" w:footer="992" w:gutter="0"/>
      <w:pgNumType w:fmt="numberInDash"/>
      <w:cols w:space="0"/>
      <w:titlePg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907" w:rsidRDefault="008E5907" w:rsidP="00ED4260">
      <w:r>
        <w:separator/>
      </w:r>
    </w:p>
  </w:endnote>
  <w:endnote w:type="continuationSeparator" w:id="0">
    <w:p w:rsidR="008E5907" w:rsidRDefault="008E5907" w:rsidP="00ED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260" w:rsidRDefault="00ED4260">
    <w:pPr>
      <w:pStyle w:val="a3"/>
    </w:pPr>
  </w:p>
  <w:sdt>
    <w:sdtPr>
      <w:id w:val="2090003"/>
    </w:sdtPr>
    <w:sdtEndPr>
      <w:rPr>
        <w:rFonts w:ascii="Times New Roman" w:hAnsi="Times New Roman" w:cs="Times New Roman"/>
        <w:sz w:val="24"/>
        <w:szCs w:val="24"/>
      </w:rPr>
    </w:sdtEndPr>
    <w:sdtContent>
      <w:p w:rsidR="00401136" w:rsidRDefault="000B5101" w:rsidP="00401136">
        <w:pPr>
          <w:pStyle w:val="a3"/>
          <w:rPr>
            <w:sz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11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76B" w:rsidRPr="0079276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79276B">
          <w:rPr>
            <w:rFonts w:ascii="Times New Roman" w:hAnsi="Times New Roman" w:cs="Times New Roman"/>
            <w:noProof/>
            <w:sz w:val="24"/>
            <w:szCs w:val="24"/>
          </w:rPr>
          <w:t xml:space="preserve"> 2 -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136" w:rsidRDefault="003A0CF4" w:rsidP="00401136">
    <w:pPr>
      <w:pStyle w:val="a3"/>
      <w:jc w:val="right"/>
      <w:rPr>
        <w:sz w:val="24"/>
      </w:rPr>
    </w:pPr>
    <w:r>
      <w:rPr>
        <w:rFonts w:ascii="宋体" w:hAnsi="宋体" w:hint="eastAsia"/>
        <w:sz w:val="24"/>
      </w:rPr>
      <w:t xml:space="preserve"> </w:t>
    </w:r>
    <w:sdt>
      <w:sdtPr>
        <w:id w:val="2090006"/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0B5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11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0B5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76B" w:rsidRPr="0079276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79276B">
          <w:rPr>
            <w:rFonts w:ascii="Times New Roman" w:hAnsi="Times New Roman" w:cs="Times New Roman"/>
            <w:noProof/>
            <w:sz w:val="24"/>
            <w:szCs w:val="24"/>
          </w:rPr>
          <w:t xml:space="preserve"> 3 -</w:t>
        </w:r>
        <w:r w:rsidR="000B5101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0001"/>
    </w:sdtPr>
    <w:sdtEndPr>
      <w:rPr>
        <w:rFonts w:ascii="Times New Roman" w:hAnsi="Times New Roman" w:cs="Times New Roman"/>
        <w:sz w:val="24"/>
        <w:szCs w:val="24"/>
      </w:rPr>
    </w:sdtEndPr>
    <w:sdtContent>
      <w:p w:rsidR="00401136" w:rsidRDefault="000B5101" w:rsidP="00401136">
        <w:pPr>
          <w:pStyle w:val="a3"/>
          <w:jc w:val="right"/>
          <w:rPr>
            <w:sz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11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76B" w:rsidRPr="0079276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79276B">
          <w:rPr>
            <w:rFonts w:ascii="Times New Roman" w:hAnsi="Times New Roman" w:cs="Times New Roman"/>
            <w:noProof/>
            <w:sz w:val="24"/>
            <w:szCs w:val="24"/>
          </w:rPr>
          <w:t xml:space="preserve"> 1 -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CF4" w:rsidRDefault="003A0CF4">
    <w:pPr>
      <w:pStyle w:val="a3"/>
    </w:pPr>
  </w:p>
  <w:sdt>
    <w:sdtPr>
      <w:id w:val="2090014"/>
    </w:sdtPr>
    <w:sdtEndPr>
      <w:rPr>
        <w:rFonts w:ascii="Times New Roman" w:hAnsi="Times New Roman" w:cs="Times New Roman"/>
        <w:sz w:val="24"/>
        <w:szCs w:val="24"/>
      </w:rPr>
    </w:sdtEndPr>
    <w:sdtContent>
      <w:p w:rsidR="00401136" w:rsidRDefault="000B5101" w:rsidP="00401136">
        <w:pPr>
          <w:pStyle w:val="a3"/>
          <w:rPr>
            <w:sz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11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76B" w:rsidRPr="0079276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79276B">
          <w:rPr>
            <w:rFonts w:ascii="Times New Roman" w:hAnsi="Times New Roman" w:cs="Times New Roman"/>
            <w:noProof/>
            <w:sz w:val="24"/>
            <w:szCs w:val="24"/>
          </w:rPr>
          <w:t xml:space="preserve"> 6 -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136" w:rsidRDefault="00401136" w:rsidP="00401136">
    <w:pPr>
      <w:pStyle w:val="a3"/>
      <w:jc w:val="right"/>
      <w:rPr>
        <w:sz w:val="24"/>
      </w:rPr>
    </w:pPr>
    <w:r>
      <w:rPr>
        <w:rFonts w:ascii="宋体" w:hAnsi="宋体" w:hint="eastAsia"/>
        <w:sz w:val="24"/>
      </w:rPr>
      <w:t xml:space="preserve"> </w:t>
    </w:r>
    <w:r w:rsidR="003A0CF4">
      <w:rPr>
        <w:rFonts w:ascii="宋体" w:hAnsi="宋体" w:hint="eastAsia"/>
        <w:sz w:val="24"/>
      </w:rPr>
      <w:t xml:space="preserve"> </w:t>
    </w:r>
    <w:sdt>
      <w:sdtPr>
        <w:id w:val="2090011"/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0B5101"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0B5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76B" w:rsidRPr="0079276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79276B">
          <w:rPr>
            <w:rFonts w:ascii="Times New Roman" w:hAnsi="Times New Roman" w:cs="Times New Roman"/>
            <w:noProof/>
            <w:sz w:val="24"/>
            <w:szCs w:val="24"/>
          </w:rPr>
          <w:t xml:space="preserve"> 5 -</w:t>
        </w:r>
        <w:r w:rsidR="000B5101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0008"/>
    </w:sdtPr>
    <w:sdtEndPr>
      <w:rPr>
        <w:rFonts w:ascii="Times New Roman" w:hAnsi="Times New Roman" w:cs="Times New Roman"/>
        <w:sz w:val="24"/>
        <w:szCs w:val="24"/>
      </w:rPr>
    </w:sdtEndPr>
    <w:sdtContent>
      <w:p w:rsidR="00401136" w:rsidRDefault="000B5101" w:rsidP="00401136">
        <w:pPr>
          <w:pStyle w:val="a3"/>
          <w:rPr>
            <w:sz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11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76B" w:rsidRPr="0079276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79276B">
          <w:rPr>
            <w:rFonts w:ascii="Times New Roman" w:hAnsi="Times New Roman" w:cs="Times New Roman"/>
            <w:noProof/>
            <w:sz w:val="24"/>
            <w:szCs w:val="24"/>
          </w:rPr>
          <w:t xml:space="preserve"> 4 -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CF4" w:rsidRDefault="003A0CF4">
    <w:pPr>
      <w:pStyle w:val="a3"/>
    </w:pPr>
  </w:p>
  <w:p w:rsidR="00401136" w:rsidRDefault="000B5101" w:rsidP="00401136">
    <w:pPr>
      <w:pStyle w:val="a3"/>
      <w:rPr>
        <w:sz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0113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9276B" w:rsidRPr="0079276B">
      <w:rPr>
        <w:rFonts w:ascii="Times New Roman" w:hAnsi="Times New Roman" w:cs="Times New Roman"/>
        <w:noProof/>
        <w:sz w:val="24"/>
        <w:szCs w:val="24"/>
        <w:lang w:val="zh-CN"/>
      </w:rPr>
      <w:t>-</w:t>
    </w:r>
    <w:r w:rsidR="0079276B">
      <w:rPr>
        <w:rFonts w:ascii="Times New Roman" w:hAnsi="Times New Roman" w:cs="Times New Roman"/>
        <w:noProof/>
        <w:sz w:val="24"/>
        <w:szCs w:val="24"/>
      </w:rPr>
      <w:t xml:space="preserve"> 8 -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136" w:rsidRDefault="003A0CF4" w:rsidP="00401136">
    <w:pPr>
      <w:pStyle w:val="a3"/>
      <w:jc w:val="right"/>
      <w:rPr>
        <w:sz w:val="24"/>
      </w:rPr>
    </w:pPr>
    <w:r>
      <w:rPr>
        <w:rFonts w:ascii="宋体" w:hAnsi="宋体" w:hint="eastAsia"/>
        <w:sz w:val="24"/>
      </w:rPr>
      <w:t xml:space="preserve">  </w:t>
    </w:r>
    <w:r w:rsidR="000B5101">
      <w:rPr>
        <w:rFonts w:ascii="Times New Roman" w:hAnsi="Times New Roman" w:cs="Times New Roman"/>
        <w:sz w:val="24"/>
        <w:szCs w:val="24"/>
      </w:rPr>
      <w:fldChar w:fldCharType="begin"/>
    </w:r>
    <w:r w:rsidR="0040113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0B5101">
      <w:rPr>
        <w:rFonts w:ascii="Times New Roman" w:hAnsi="Times New Roman" w:cs="Times New Roman"/>
        <w:sz w:val="24"/>
        <w:szCs w:val="24"/>
      </w:rPr>
      <w:fldChar w:fldCharType="separate"/>
    </w:r>
    <w:r w:rsidR="0079276B" w:rsidRPr="0079276B">
      <w:rPr>
        <w:rFonts w:ascii="Times New Roman" w:hAnsi="Times New Roman" w:cs="Times New Roman"/>
        <w:noProof/>
        <w:sz w:val="24"/>
        <w:szCs w:val="24"/>
        <w:lang w:val="zh-CN"/>
      </w:rPr>
      <w:t>-</w:t>
    </w:r>
    <w:r w:rsidR="0079276B">
      <w:rPr>
        <w:rFonts w:ascii="Times New Roman" w:hAnsi="Times New Roman" w:cs="Times New Roman"/>
        <w:noProof/>
        <w:sz w:val="24"/>
        <w:szCs w:val="24"/>
      </w:rPr>
      <w:t xml:space="preserve"> 7 -</w:t>
    </w:r>
    <w:r w:rsidR="000B5101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907" w:rsidRDefault="008E5907" w:rsidP="00ED4260">
      <w:r>
        <w:separator/>
      </w:r>
    </w:p>
  </w:footnote>
  <w:footnote w:type="continuationSeparator" w:id="0">
    <w:p w:rsidR="008E5907" w:rsidRDefault="008E5907" w:rsidP="00ED42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bookFoldPrinting/>
  <w:drawingGridHorizontalSpacing w:val="105"/>
  <w:drawingGridVerticalSpacing w:val="31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75F"/>
    <w:rsid w:val="000010B8"/>
    <w:rsid w:val="00007D62"/>
    <w:rsid w:val="00014F19"/>
    <w:rsid w:val="00015628"/>
    <w:rsid w:val="00017F0E"/>
    <w:rsid w:val="00023554"/>
    <w:rsid w:val="00055A72"/>
    <w:rsid w:val="000566CE"/>
    <w:rsid w:val="00083DCA"/>
    <w:rsid w:val="0009197C"/>
    <w:rsid w:val="000A2123"/>
    <w:rsid w:val="000A7906"/>
    <w:rsid w:val="000A7B44"/>
    <w:rsid w:val="000B1A28"/>
    <w:rsid w:val="000B392A"/>
    <w:rsid w:val="000B5101"/>
    <w:rsid w:val="000D2330"/>
    <w:rsid w:val="0012044F"/>
    <w:rsid w:val="00124193"/>
    <w:rsid w:val="00142A5C"/>
    <w:rsid w:val="00142ED9"/>
    <w:rsid w:val="00147018"/>
    <w:rsid w:val="00151082"/>
    <w:rsid w:val="001551DB"/>
    <w:rsid w:val="00164C84"/>
    <w:rsid w:val="00164E63"/>
    <w:rsid w:val="00174379"/>
    <w:rsid w:val="00177589"/>
    <w:rsid w:val="001809A6"/>
    <w:rsid w:val="00192AAC"/>
    <w:rsid w:val="001C6F13"/>
    <w:rsid w:val="001D7C68"/>
    <w:rsid w:val="001F3FEA"/>
    <w:rsid w:val="002025F2"/>
    <w:rsid w:val="0021014B"/>
    <w:rsid w:val="002160EC"/>
    <w:rsid w:val="00223BF3"/>
    <w:rsid w:val="00227DB9"/>
    <w:rsid w:val="002360D7"/>
    <w:rsid w:val="0024171A"/>
    <w:rsid w:val="00244E3D"/>
    <w:rsid w:val="00256475"/>
    <w:rsid w:val="00270FE9"/>
    <w:rsid w:val="00273E54"/>
    <w:rsid w:val="0027413A"/>
    <w:rsid w:val="002838CE"/>
    <w:rsid w:val="002854C3"/>
    <w:rsid w:val="00291AFB"/>
    <w:rsid w:val="002A4C7F"/>
    <w:rsid w:val="002C29EC"/>
    <w:rsid w:val="002D49AD"/>
    <w:rsid w:val="002D592D"/>
    <w:rsid w:val="002F34FF"/>
    <w:rsid w:val="002F6340"/>
    <w:rsid w:val="003010A6"/>
    <w:rsid w:val="00325DD0"/>
    <w:rsid w:val="00330344"/>
    <w:rsid w:val="00330BF0"/>
    <w:rsid w:val="00334132"/>
    <w:rsid w:val="00334E8E"/>
    <w:rsid w:val="00343E51"/>
    <w:rsid w:val="00357D3F"/>
    <w:rsid w:val="00366459"/>
    <w:rsid w:val="003875D7"/>
    <w:rsid w:val="003A0CF4"/>
    <w:rsid w:val="003A1F47"/>
    <w:rsid w:val="003A258E"/>
    <w:rsid w:val="003B0814"/>
    <w:rsid w:val="003B52FF"/>
    <w:rsid w:val="003B549C"/>
    <w:rsid w:val="003B5BF9"/>
    <w:rsid w:val="003C1267"/>
    <w:rsid w:val="003C5FFA"/>
    <w:rsid w:val="003D4059"/>
    <w:rsid w:val="003E28AB"/>
    <w:rsid w:val="003E316A"/>
    <w:rsid w:val="003F0C8D"/>
    <w:rsid w:val="003F2BF6"/>
    <w:rsid w:val="003F5414"/>
    <w:rsid w:val="003F7FAD"/>
    <w:rsid w:val="00401136"/>
    <w:rsid w:val="004074D4"/>
    <w:rsid w:val="00410BB8"/>
    <w:rsid w:val="00412313"/>
    <w:rsid w:val="00413A38"/>
    <w:rsid w:val="00416C2F"/>
    <w:rsid w:val="00421C92"/>
    <w:rsid w:val="0045731A"/>
    <w:rsid w:val="00461048"/>
    <w:rsid w:val="00465DED"/>
    <w:rsid w:val="004755F8"/>
    <w:rsid w:val="00475CDD"/>
    <w:rsid w:val="0047609C"/>
    <w:rsid w:val="00481E57"/>
    <w:rsid w:val="004A4442"/>
    <w:rsid w:val="004A78F2"/>
    <w:rsid w:val="004B5A75"/>
    <w:rsid w:val="004B5AA7"/>
    <w:rsid w:val="004B61B5"/>
    <w:rsid w:val="004C0B71"/>
    <w:rsid w:val="004C1287"/>
    <w:rsid w:val="004C142B"/>
    <w:rsid w:val="004D2197"/>
    <w:rsid w:val="004D2FAC"/>
    <w:rsid w:val="004D791F"/>
    <w:rsid w:val="004E3AC4"/>
    <w:rsid w:val="004E455E"/>
    <w:rsid w:val="004E6AFC"/>
    <w:rsid w:val="004E7947"/>
    <w:rsid w:val="004F34E0"/>
    <w:rsid w:val="004F5909"/>
    <w:rsid w:val="00520621"/>
    <w:rsid w:val="005238DF"/>
    <w:rsid w:val="005242A0"/>
    <w:rsid w:val="005316F5"/>
    <w:rsid w:val="00556CDA"/>
    <w:rsid w:val="005619A7"/>
    <w:rsid w:val="005621BD"/>
    <w:rsid w:val="00581DEF"/>
    <w:rsid w:val="005877D2"/>
    <w:rsid w:val="0059036F"/>
    <w:rsid w:val="005A5A67"/>
    <w:rsid w:val="005B417C"/>
    <w:rsid w:val="005C7DDE"/>
    <w:rsid w:val="005E3A01"/>
    <w:rsid w:val="005E4A6A"/>
    <w:rsid w:val="005E6590"/>
    <w:rsid w:val="005F3D20"/>
    <w:rsid w:val="006024A9"/>
    <w:rsid w:val="00602F58"/>
    <w:rsid w:val="00610BDE"/>
    <w:rsid w:val="0062379C"/>
    <w:rsid w:val="00625DEE"/>
    <w:rsid w:val="00626FAF"/>
    <w:rsid w:val="00631922"/>
    <w:rsid w:val="00632BA2"/>
    <w:rsid w:val="0065407A"/>
    <w:rsid w:val="00657DD0"/>
    <w:rsid w:val="006617E0"/>
    <w:rsid w:val="006638DE"/>
    <w:rsid w:val="00685D3E"/>
    <w:rsid w:val="00691206"/>
    <w:rsid w:val="0069126C"/>
    <w:rsid w:val="006947D0"/>
    <w:rsid w:val="006A5F84"/>
    <w:rsid w:val="006B64B3"/>
    <w:rsid w:val="006B6680"/>
    <w:rsid w:val="006B6A95"/>
    <w:rsid w:val="006B7D63"/>
    <w:rsid w:val="006D2B59"/>
    <w:rsid w:val="006D37A3"/>
    <w:rsid w:val="006D609B"/>
    <w:rsid w:val="006F2839"/>
    <w:rsid w:val="007009F4"/>
    <w:rsid w:val="00701395"/>
    <w:rsid w:val="00702076"/>
    <w:rsid w:val="0070722D"/>
    <w:rsid w:val="0071567A"/>
    <w:rsid w:val="00753350"/>
    <w:rsid w:val="0075437D"/>
    <w:rsid w:val="00761A86"/>
    <w:rsid w:val="007827DF"/>
    <w:rsid w:val="0079276B"/>
    <w:rsid w:val="00793126"/>
    <w:rsid w:val="007A4C9C"/>
    <w:rsid w:val="007B055F"/>
    <w:rsid w:val="007B3DCE"/>
    <w:rsid w:val="007B4536"/>
    <w:rsid w:val="007B7B0B"/>
    <w:rsid w:val="007D2AB5"/>
    <w:rsid w:val="007D59B3"/>
    <w:rsid w:val="007E4CFB"/>
    <w:rsid w:val="007F1427"/>
    <w:rsid w:val="007F1BB1"/>
    <w:rsid w:val="007F57B0"/>
    <w:rsid w:val="007F7C8D"/>
    <w:rsid w:val="00805EAD"/>
    <w:rsid w:val="008173B7"/>
    <w:rsid w:val="00820A65"/>
    <w:rsid w:val="008310A9"/>
    <w:rsid w:val="00844051"/>
    <w:rsid w:val="00860BD2"/>
    <w:rsid w:val="0088042F"/>
    <w:rsid w:val="00883790"/>
    <w:rsid w:val="00886279"/>
    <w:rsid w:val="00886BF1"/>
    <w:rsid w:val="008904D1"/>
    <w:rsid w:val="008912C4"/>
    <w:rsid w:val="00897D9C"/>
    <w:rsid w:val="008A0655"/>
    <w:rsid w:val="008A249F"/>
    <w:rsid w:val="008C0306"/>
    <w:rsid w:val="008C47E0"/>
    <w:rsid w:val="008C7E4B"/>
    <w:rsid w:val="008D40DE"/>
    <w:rsid w:val="008D5840"/>
    <w:rsid w:val="008E1A83"/>
    <w:rsid w:val="008E5907"/>
    <w:rsid w:val="008F3CC8"/>
    <w:rsid w:val="008F79BF"/>
    <w:rsid w:val="00905ED6"/>
    <w:rsid w:val="00907DA6"/>
    <w:rsid w:val="0091081E"/>
    <w:rsid w:val="00913F2D"/>
    <w:rsid w:val="00913FF7"/>
    <w:rsid w:val="00914E1E"/>
    <w:rsid w:val="0092029A"/>
    <w:rsid w:val="009334DA"/>
    <w:rsid w:val="00956654"/>
    <w:rsid w:val="00973EBE"/>
    <w:rsid w:val="00980680"/>
    <w:rsid w:val="009810D4"/>
    <w:rsid w:val="00981FDF"/>
    <w:rsid w:val="00983FB7"/>
    <w:rsid w:val="00990EB7"/>
    <w:rsid w:val="009B44AE"/>
    <w:rsid w:val="009B5BC1"/>
    <w:rsid w:val="009C031B"/>
    <w:rsid w:val="009D219F"/>
    <w:rsid w:val="009D2924"/>
    <w:rsid w:val="009D31F8"/>
    <w:rsid w:val="009D5BF2"/>
    <w:rsid w:val="009E375F"/>
    <w:rsid w:val="009E7922"/>
    <w:rsid w:val="009F747F"/>
    <w:rsid w:val="009F7B2F"/>
    <w:rsid w:val="00A0676A"/>
    <w:rsid w:val="00A21318"/>
    <w:rsid w:val="00A22923"/>
    <w:rsid w:val="00A26A90"/>
    <w:rsid w:val="00A40BAE"/>
    <w:rsid w:val="00A4769D"/>
    <w:rsid w:val="00A73426"/>
    <w:rsid w:val="00A77A0F"/>
    <w:rsid w:val="00A97CF1"/>
    <w:rsid w:val="00AA5F05"/>
    <w:rsid w:val="00AB127A"/>
    <w:rsid w:val="00AC1ACA"/>
    <w:rsid w:val="00AC273B"/>
    <w:rsid w:val="00AE47D7"/>
    <w:rsid w:val="00AE53D2"/>
    <w:rsid w:val="00AF1A9F"/>
    <w:rsid w:val="00AF3EC2"/>
    <w:rsid w:val="00AF40E7"/>
    <w:rsid w:val="00AF5FCD"/>
    <w:rsid w:val="00AF7C9D"/>
    <w:rsid w:val="00B10B61"/>
    <w:rsid w:val="00B14A49"/>
    <w:rsid w:val="00B22550"/>
    <w:rsid w:val="00B31BFD"/>
    <w:rsid w:val="00B46625"/>
    <w:rsid w:val="00B64A8B"/>
    <w:rsid w:val="00B81199"/>
    <w:rsid w:val="00B86D3F"/>
    <w:rsid w:val="00B906BE"/>
    <w:rsid w:val="00B91435"/>
    <w:rsid w:val="00BB162F"/>
    <w:rsid w:val="00BB7799"/>
    <w:rsid w:val="00BC7818"/>
    <w:rsid w:val="00BD0E1C"/>
    <w:rsid w:val="00BE6247"/>
    <w:rsid w:val="00BF1CBB"/>
    <w:rsid w:val="00C04BF5"/>
    <w:rsid w:val="00C06FE5"/>
    <w:rsid w:val="00C10811"/>
    <w:rsid w:val="00C14A0E"/>
    <w:rsid w:val="00C16D2B"/>
    <w:rsid w:val="00C222C5"/>
    <w:rsid w:val="00C24DEB"/>
    <w:rsid w:val="00C36DD4"/>
    <w:rsid w:val="00C71937"/>
    <w:rsid w:val="00C8019F"/>
    <w:rsid w:val="00C8362F"/>
    <w:rsid w:val="00C83D2F"/>
    <w:rsid w:val="00C85868"/>
    <w:rsid w:val="00C919B0"/>
    <w:rsid w:val="00CA06B4"/>
    <w:rsid w:val="00CA31EB"/>
    <w:rsid w:val="00CA57C9"/>
    <w:rsid w:val="00CB398A"/>
    <w:rsid w:val="00CB3ADD"/>
    <w:rsid w:val="00CC3D9A"/>
    <w:rsid w:val="00CD231A"/>
    <w:rsid w:val="00CE3817"/>
    <w:rsid w:val="00CF7F36"/>
    <w:rsid w:val="00D013B5"/>
    <w:rsid w:val="00D04554"/>
    <w:rsid w:val="00D136F3"/>
    <w:rsid w:val="00D13D40"/>
    <w:rsid w:val="00D326CD"/>
    <w:rsid w:val="00D34847"/>
    <w:rsid w:val="00D46136"/>
    <w:rsid w:val="00D4632D"/>
    <w:rsid w:val="00D478F2"/>
    <w:rsid w:val="00D50DAC"/>
    <w:rsid w:val="00D603B3"/>
    <w:rsid w:val="00D6146C"/>
    <w:rsid w:val="00D767D8"/>
    <w:rsid w:val="00D8693A"/>
    <w:rsid w:val="00D939C1"/>
    <w:rsid w:val="00D97AF2"/>
    <w:rsid w:val="00DB0C55"/>
    <w:rsid w:val="00DB1442"/>
    <w:rsid w:val="00DD08FF"/>
    <w:rsid w:val="00DD1424"/>
    <w:rsid w:val="00DD14DB"/>
    <w:rsid w:val="00DE3822"/>
    <w:rsid w:val="00E03421"/>
    <w:rsid w:val="00E11323"/>
    <w:rsid w:val="00E26742"/>
    <w:rsid w:val="00E319E4"/>
    <w:rsid w:val="00E35CD8"/>
    <w:rsid w:val="00E42E65"/>
    <w:rsid w:val="00E47BA9"/>
    <w:rsid w:val="00E514B2"/>
    <w:rsid w:val="00E76AF0"/>
    <w:rsid w:val="00E870F3"/>
    <w:rsid w:val="00E87390"/>
    <w:rsid w:val="00E90698"/>
    <w:rsid w:val="00EB06AC"/>
    <w:rsid w:val="00EB0C04"/>
    <w:rsid w:val="00EB3A40"/>
    <w:rsid w:val="00EC266B"/>
    <w:rsid w:val="00EC476A"/>
    <w:rsid w:val="00ED15EB"/>
    <w:rsid w:val="00ED1A1A"/>
    <w:rsid w:val="00ED3082"/>
    <w:rsid w:val="00ED4260"/>
    <w:rsid w:val="00EE719A"/>
    <w:rsid w:val="00EE7853"/>
    <w:rsid w:val="00EF702C"/>
    <w:rsid w:val="00EF7CE1"/>
    <w:rsid w:val="00F02748"/>
    <w:rsid w:val="00F06F4D"/>
    <w:rsid w:val="00F1039F"/>
    <w:rsid w:val="00F232ED"/>
    <w:rsid w:val="00F31012"/>
    <w:rsid w:val="00F33D65"/>
    <w:rsid w:val="00F566FE"/>
    <w:rsid w:val="00F81744"/>
    <w:rsid w:val="00F824A5"/>
    <w:rsid w:val="00F84E83"/>
    <w:rsid w:val="00F931AB"/>
    <w:rsid w:val="00F9740D"/>
    <w:rsid w:val="00FB588B"/>
    <w:rsid w:val="00FD3166"/>
    <w:rsid w:val="00FE3B9B"/>
    <w:rsid w:val="00FE7649"/>
    <w:rsid w:val="00FF02CA"/>
    <w:rsid w:val="0120641B"/>
    <w:rsid w:val="0379742B"/>
    <w:rsid w:val="043063A0"/>
    <w:rsid w:val="0549756F"/>
    <w:rsid w:val="079247D0"/>
    <w:rsid w:val="0B996112"/>
    <w:rsid w:val="0C9400AE"/>
    <w:rsid w:val="0E546A3B"/>
    <w:rsid w:val="126E7151"/>
    <w:rsid w:val="12FC0F9B"/>
    <w:rsid w:val="15B26DF6"/>
    <w:rsid w:val="165C2FE5"/>
    <w:rsid w:val="17107869"/>
    <w:rsid w:val="17402A6A"/>
    <w:rsid w:val="18B877A1"/>
    <w:rsid w:val="18BF4BBB"/>
    <w:rsid w:val="18FB52A4"/>
    <w:rsid w:val="1B58533B"/>
    <w:rsid w:val="1DBD7096"/>
    <w:rsid w:val="1DD75E3E"/>
    <w:rsid w:val="202730C2"/>
    <w:rsid w:val="20601829"/>
    <w:rsid w:val="207455A6"/>
    <w:rsid w:val="20A25D66"/>
    <w:rsid w:val="22C712DB"/>
    <w:rsid w:val="22CC5EAF"/>
    <w:rsid w:val="23712C39"/>
    <w:rsid w:val="25DE0245"/>
    <w:rsid w:val="26EE5286"/>
    <w:rsid w:val="281F6D21"/>
    <w:rsid w:val="2B5F19DE"/>
    <w:rsid w:val="2BFB710A"/>
    <w:rsid w:val="2C1A4B53"/>
    <w:rsid w:val="2FCC4A70"/>
    <w:rsid w:val="303A4CB1"/>
    <w:rsid w:val="334E704D"/>
    <w:rsid w:val="33F23FE7"/>
    <w:rsid w:val="34AD2067"/>
    <w:rsid w:val="389A1CD3"/>
    <w:rsid w:val="38E85A7B"/>
    <w:rsid w:val="3D4B1A91"/>
    <w:rsid w:val="3D91206F"/>
    <w:rsid w:val="3E9F276D"/>
    <w:rsid w:val="4130563E"/>
    <w:rsid w:val="41B6785B"/>
    <w:rsid w:val="42424C4D"/>
    <w:rsid w:val="444214B5"/>
    <w:rsid w:val="47CD5F86"/>
    <w:rsid w:val="4BE32D40"/>
    <w:rsid w:val="4DF676F5"/>
    <w:rsid w:val="512D624D"/>
    <w:rsid w:val="51FA5511"/>
    <w:rsid w:val="53D56206"/>
    <w:rsid w:val="55022F7C"/>
    <w:rsid w:val="560C67D6"/>
    <w:rsid w:val="56D149B2"/>
    <w:rsid w:val="57244806"/>
    <w:rsid w:val="589F6D38"/>
    <w:rsid w:val="5D8C53A0"/>
    <w:rsid w:val="5E50563A"/>
    <w:rsid w:val="5E6B6414"/>
    <w:rsid w:val="63F3732A"/>
    <w:rsid w:val="642F385E"/>
    <w:rsid w:val="66E41B16"/>
    <w:rsid w:val="67C54975"/>
    <w:rsid w:val="67D977BF"/>
    <w:rsid w:val="6810128F"/>
    <w:rsid w:val="68210BF1"/>
    <w:rsid w:val="69D07D7D"/>
    <w:rsid w:val="6B20000A"/>
    <w:rsid w:val="6BD80AE5"/>
    <w:rsid w:val="6D3D004E"/>
    <w:rsid w:val="6DFA6DF4"/>
    <w:rsid w:val="6E6008B9"/>
    <w:rsid w:val="6F38467D"/>
    <w:rsid w:val="70746484"/>
    <w:rsid w:val="712D4C5E"/>
    <w:rsid w:val="73941B85"/>
    <w:rsid w:val="73CB40B9"/>
    <w:rsid w:val="73F72F6B"/>
    <w:rsid w:val="79AD1556"/>
    <w:rsid w:val="7B135C87"/>
    <w:rsid w:val="7BAD6AC8"/>
    <w:rsid w:val="7C50023F"/>
    <w:rsid w:val="7DF4280C"/>
    <w:rsid w:val="7EB05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D4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D4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ED4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ED426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D426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A25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A258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647</Words>
  <Characters>3692</Characters>
  <Application>Microsoft Office Word</Application>
  <DocSecurity>0</DocSecurity>
  <Lines>30</Lines>
  <Paragraphs>8</Paragraphs>
  <ScaleCrop>false</ScaleCrop>
  <Company>China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2019-09-25T03:13:00Z</cp:lastPrinted>
  <dcterms:created xsi:type="dcterms:W3CDTF">2019-09-29T02:36:00Z</dcterms:created>
  <dcterms:modified xsi:type="dcterms:W3CDTF">2019-12-06T08:33:00Z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